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0"/>
        <w:ind w:left="0" w:right="0" w:hanging="0"/>
        <w:jc w:val="left"/>
        <w:rPr/>
      </w:pPr>
      <w:bookmarkStart w:id="0" w:name="cto-20260617x8k.htm"/>
      <w:bookmarkStart w:id="1" w:name="kscto20260617x8k"/>
      <w:bookmarkEnd w:id="0"/>
      <w:bookmarkEnd w:id="1"/>
      <w:r>
        <w:rPr/>
        <w:t xml:space="preserve">  </w:t>
      </w:r>
    </w:p>
    <w:p>
      <w:pPr>
        <w:pStyle w:val="TextBody"/>
        <w:bidi w:val="0"/>
        <w:spacing w:lineRule="auto" w:line="285" w:before="0" w:after="0"/>
        <w:ind w:left="0" w:right="0" w:hanging="0"/>
        <w:jc w:val="center"/>
        <w:rPr/>
      </w:pPr>
      <w:r>
        <w:rPr/>
        <w:t xml:space="preserve">  </w:t>
      </w:r>
    </w:p>
    <w:p>
      <w:pPr>
        <w:pStyle w:val="TextBody"/>
        <w:bidi w:val="0"/>
        <w:spacing w:lineRule="auto" w:line="285" w:before="0" w:after="0"/>
        <w:ind w:left="0" w:right="0" w:hanging="0"/>
        <w:jc w:val="center"/>
        <w:rPr>
          <w:rFonts w:ascii="Helvetica;sans-serif" w:hAnsi="Helvetica;sans-serif"/>
          <w:sz w:val="20"/>
        </w:rPr>
      </w:pPr>
      <w:bookmarkStart w:id="2" w:name="_ddfcde78_34e6_4ff7_b945_f9a91e3c1ddf"/>
      <w:bookmarkEnd w:id="2"/>
      <w:r>
        <w:rPr>
          <w:rFonts w:ascii="Times New Roman;Times;serif" w:hAnsi="Times New Roman;Times;serif"/>
          <w:b/>
          <w:sz w:val="20"/>
        </w:rPr>
        <w:t>UNITED STATES</w:t>
      </w:r>
      <w:r>
        <w:rPr>
          <w:rFonts w:ascii="Helvetica;sans-serif" w:hAnsi="Helvetica;sans-serif"/>
          <w:sz w:val="20"/>
        </w:rPr>
        <w:t xml:space="preserve"> </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SECURITIES AND EXCHANGE COMMISSION</w:t>
      </w:r>
      <w:r>
        <w:rPr>
          <w:rFonts w:ascii="Helvetica;sans-serif" w:hAnsi="Helvetica;sans-serif"/>
          <w:sz w:val="20"/>
        </w:rPr>
        <w:t xml:space="preserve"> </w:t>
      </w:r>
    </w:p>
    <w:p>
      <w:pPr>
        <w:pStyle w:val="TextBody"/>
        <w:bidi w:val="0"/>
        <w:spacing w:lineRule="auto" w:line="285" w:before="0" w:after="200"/>
        <w:ind w:left="0" w:right="0" w:hanging="0"/>
        <w:jc w:val="center"/>
        <w:rPr>
          <w:rFonts w:ascii="Helvetica;sans-serif" w:hAnsi="Helvetica;sans-serif"/>
          <w:sz w:val="20"/>
        </w:rPr>
      </w:pPr>
      <w:r>
        <w:rPr>
          <w:rFonts w:ascii="Times New Roman;Times;serif" w:hAnsi="Times New Roman;Times;serif"/>
          <w:b/>
          <w:sz w:val="20"/>
        </w:rPr>
        <w:t>Washington, D.C. 20549</w:t>
      </w:r>
      <w:r>
        <w:rPr>
          <w:rFonts w:ascii="Helvetica;sans-serif" w:hAnsi="Helvetica;sans-serif"/>
          <w:sz w:val="20"/>
        </w:rPr>
        <w:t xml:space="preserve"> </w:t>
      </w:r>
    </w:p>
    <w:p>
      <w:pPr>
        <w:pStyle w:val="TextBody"/>
        <w:bidi w:val="0"/>
        <w:spacing w:lineRule="auto" w:line="285" w:before="0" w:after="0"/>
        <w:ind w:left="0" w:right="0" w:hanging="0"/>
        <w:jc w:val="center"/>
        <w:rPr>
          <w:rFonts w:ascii="Helvetica;sans-serif" w:hAnsi="Helvetica;sans-serif"/>
          <w:sz w:val="22"/>
        </w:rPr>
      </w:pPr>
      <w:r>
        <w:rPr>
          <w:rFonts w:ascii="Times New Roman;Times;serif" w:hAnsi="Times New Roman;Times;serif"/>
          <w:b/>
          <w:sz w:val="20"/>
        </w:rPr>
        <w:t>FORM 8-K</w:t>
      </w:r>
      <w:r>
        <w:rPr>
          <w:rFonts w:ascii="Helvetica;sans-serif" w:hAnsi="Helvetica;sans-serif"/>
          <w:sz w:val="22"/>
        </w:rPr>
        <w:t xml:space="preserve"> </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CURRENT REPORT</w:t>
      </w:r>
      <w:r>
        <w:rPr>
          <w:rFonts w:ascii="Helvetica;sans-serif" w:hAnsi="Helvetica;sans-serif"/>
          <w:sz w:val="20"/>
        </w:rPr>
        <w:t xml:space="preserve"> </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Pursuant to Section 13 or 15(d) of</w:t>
      </w:r>
      <w:r>
        <w:rPr>
          <w:rFonts w:ascii="Helvetica;sans-serif" w:hAnsi="Helvetica;sans-serif"/>
          <w:sz w:val="20"/>
        </w:rPr>
        <w:t xml:space="preserve"> </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The Securities Exchange Act of 1934</w:t>
      </w:r>
      <w:r>
        <w:rPr>
          <w:rFonts w:ascii="Helvetica;sans-serif" w:hAnsi="Helvetica;sans-serif"/>
          <w:sz w:val="20"/>
        </w:rPr>
        <w:t xml:space="preserve"> </w:t>
      </w:r>
    </w:p>
    <w:p>
      <w:pPr>
        <w:pStyle w:val="TextBody"/>
        <w:bidi w:val="0"/>
        <w:spacing w:lineRule="auto" w:line="285" w:before="0" w:after="200"/>
        <w:ind w:left="0" w:right="0" w:hanging="0"/>
        <w:jc w:val="center"/>
        <w:rPr>
          <w:rFonts w:ascii="Helvetica;sans-serif" w:hAnsi="Helvetica;sans-serif"/>
          <w:sz w:val="22"/>
        </w:rPr>
      </w:pPr>
      <w:r>
        <w:rPr>
          <w:rFonts w:ascii="Times New Roman;Times;serif" w:hAnsi="Times New Roman;Times;serif"/>
          <w:sz w:val="20"/>
        </w:rPr>
        <w:t>Date of Report (Date of earliest event reported): June 17, 2026</w:t>
      </w:r>
      <w:r>
        <w:rPr>
          <w:rFonts w:ascii="Helvetica;sans-serif" w:hAnsi="Helvetica;sans-serif"/>
          <w:sz w:val="22"/>
        </w:rPr>
        <w:t xml:space="preserve"> </w:t>
      </w:r>
    </w:p>
    <w:p>
      <w:pPr>
        <w:pStyle w:val="TextBody"/>
        <w:bidi w:val="0"/>
        <w:spacing w:lineRule="auto" w:line="285" w:before="0" w:after="0"/>
        <w:ind w:left="0" w:right="0" w:hanging="0"/>
        <w:jc w:val="center"/>
        <w:rPr>
          <w:rFonts w:ascii="Helvetica;sans-serif" w:hAnsi="Helvetica;sans-serif"/>
          <w:sz w:val="52"/>
        </w:rPr>
      </w:pPr>
      <w:r>
        <w:rPr>
          <w:rFonts w:ascii="Times New Roman;Times;serif" w:hAnsi="Times New Roman;Times;serif"/>
          <w:b/>
          <w:sz w:val="52"/>
        </w:rPr>
        <w:t>CTO Realty Growth, Inc.</w:t>
      </w:r>
      <w:r>
        <w:rPr>
          <w:rFonts w:ascii="Helvetica;sans-serif" w:hAnsi="Helvetica;sans-serif"/>
          <w:sz w:val="52"/>
        </w:rPr>
        <w:t xml:space="preserve"> </w:t>
      </w:r>
    </w:p>
    <w:p>
      <w:pPr>
        <w:pStyle w:val="TextBody"/>
        <w:bidi w:val="0"/>
        <w:spacing w:lineRule="auto" w:line="285" w:before="0" w:after="200"/>
        <w:ind w:left="0" w:right="0" w:hanging="0"/>
        <w:jc w:val="center"/>
        <w:rPr>
          <w:rFonts w:ascii="Times New Roman;Times;serif" w:hAnsi="Times New Roman;Times;serif"/>
          <w:sz w:val="20"/>
        </w:rPr>
      </w:pPr>
      <w:r>
        <w:rPr>
          <w:rFonts w:ascii="Times New Roman;Times;serif" w:hAnsi="Times New Roman;Times;serif"/>
          <w:sz w:val="20"/>
        </w:rPr>
        <w:t xml:space="preserve">(Exact name of registrant as specified in its charter) </w:t>
      </w:r>
    </w:p>
    <w:tbl>
      <w:tblPr>
        <w:tblW w:w="9858" w:type="dxa"/>
        <w:jc w:val="left"/>
        <w:tblInd w:w="0" w:type="dxa"/>
        <w:tblLayout w:type="fixed"/>
        <w:tblCellMar>
          <w:top w:w="0" w:type="dxa"/>
          <w:left w:w="0" w:type="dxa"/>
          <w:bottom w:w="0" w:type="dxa"/>
          <w:right w:w="0" w:type="dxa"/>
        </w:tblCellMar>
      </w:tblPr>
      <w:tblGrid>
        <w:gridCol w:w="3676"/>
        <w:gridCol w:w="3286"/>
        <w:gridCol w:w="2896"/>
      </w:tblGrid>
      <w:tr>
        <w:trPr/>
        <w:tc>
          <w:tcPr>
            <w:tcW w:w="3676" w:type="dxa"/>
            <w:tcBorders/>
            <w:vAlign w:val="center"/>
          </w:tcPr>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tc>
        <w:tc>
          <w:tcPr>
            <w:tcW w:w="3286" w:type="dxa"/>
            <w:tcBorders/>
            <w:vAlign w:val="center"/>
          </w:tcPr>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tc>
        <w:tc>
          <w:tcPr>
            <w:tcW w:w="2896" w:type="dxa"/>
            <w:tcBorders/>
            <w:vAlign w:val="center"/>
          </w:tcPr>
          <w:p>
            <w:pPr>
              <w:pStyle w:val="TableContents"/>
              <w:bidi w:val="0"/>
              <w:spacing w:lineRule="auto" w:line="307" w:before="0" w:after="160"/>
              <w:ind w:left="0" w:right="0" w:hanging="0"/>
              <w:jc w:val="left"/>
              <w:rPr/>
            </w:pPr>
            <w:r>
              <w:rPr/>
              <w:t>​</w:t>
            </w:r>
          </w:p>
          <w:p>
            <w:pPr>
              <w:pStyle w:val="TableContents"/>
              <w:bidi w:val="0"/>
              <w:spacing w:lineRule="auto" w:line="307" w:before="0" w:after="160"/>
              <w:ind w:left="0" w:right="0" w:hanging="0"/>
              <w:jc w:val="left"/>
              <w:rPr/>
            </w:pPr>
            <w:r>
              <w:rPr/>
              <w:t>​</w:t>
            </w:r>
          </w:p>
        </w:tc>
      </w:tr>
      <w:tr>
        <w:trPr/>
        <w:tc>
          <w:tcPr>
            <w:tcW w:w="3676" w:type="dxa"/>
            <w:tcBorders/>
            <w:vAlign w:val="center"/>
          </w:tcPr>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left"/>
              <w:rPr/>
            </w:pPr>
            <w:r>
              <w:rPr/>
              <w:t> </w:t>
            </w:r>
          </w:p>
        </w:tc>
        <w:tc>
          <w:tcPr>
            <w:tcW w:w="3286" w:type="dxa"/>
            <w:tcBorders/>
            <w:vAlign w:val="center"/>
          </w:tcPr>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left"/>
              <w:rPr/>
            </w:pPr>
            <w:r>
              <w:rPr/>
              <w:t> </w:t>
            </w:r>
          </w:p>
        </w:tc>
        <w:tc>
          <w:tcPr>
            <w:tcW w:w="2896" w:type="dxa"/>
            <w:tcBorders/>
            <w:vAlign w:val="center"/>
          </w:tcPr>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left"/>
              <w:rPr/>
            </w:pPr>
            <w:r>
              <w:rPr/>
              <w:t> </w:t>
            </w:r>
          </w:p>
        </w:tc>
      </w:tr>
      <w:tr>
        <w:trPr/>
        <w:tc>
          <w:tcPr>
            <w:tcW w:w="3676" w:type="dxa"/>
            <w:tcBorders/>
            <w:vAlign w:val="center"/>
          </w:tcPr>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3286" w:type="dxa"/>
            <w:tcBorders/>
            <w:vAlign w:val="center"/>
          </w:tcPr>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001-11350</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896" w:type="dxa"/>
            <w:tcBorders/>
            <w:vAlign w:val="center"/>
          </w:tcPr>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59-0483700</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676" w:type="dxa"/>
            <w:tcBorders/>
            <w:vAlign w:val="center"/>
          </w:tcPr>
          <w:p>
            <w:pPr>
              <w:pStyle w:val="TableContents"/>
              <w:bidi w:val="0"/>
              <w:spacing w:lineRule="auto" w:line="266" w:before="240" w:after="0"/>
              <w:ind w:left="0" w:right="0" w:hanging="0"/>
              <w:jc w:val="left"/>
              <w:rPr/>
            </w:pPr>
            <w:r>
              <w:rPr/>
              <w:t> </w:t>
            </w:r>
          </w:p>
        </w:tc>
        <w:tc>
          <w:tcPr>
            <w:tcW w:w="3286" w:type="dxa"/>
            <w:tcBorders/>
            <w:vAlign w:val="center"/>
          </w:tcPr>
          <w:p>
            <w:pPr>
              <w:pStyle w:val="TableContents"/>
              <w:bidi w:val="0"/>
              <w:spacing w:lineRule="auto" w:line="266" w:before="200" w:after="0"/>
              <w:ind w:left="0" w:right="0" w:hanging="0"/>
              <w:jc w:val="center"/>
              <w:rPr>
                <w:rFonts w:ascii="Times New Roman;Times;serif" w:hAnsi="Times New Roman;Times;serif"/>
                <w:b/>
                <w:sz w:val="20"/>
              </w:rPr>
            </w:pPr>
            <w:r>
              <w:rPr>
                <w:rFonts w:ascii="Times New Roman;Times;serif" w:hAnsi="Times New Roman;Times;serif"/>
                <w:b/>
                <w:sz w:val="20"/>
              </w:rPr>
              <w:t>369 N. New York Avenue,</w:t>
            </w:r>
          </w:p>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Suite 201</w:t>
            </w:r>
          </w:p>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Winter Park, Florida</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96" w:type="dxa"/>
            <w:tcBorders/>
            <w:vAlign w:val="center"/>
          </w:tcPr>
          <w:p>
            <w:pPr>
              <w:pStyle w:val="TableContents"/>
              <w:bidi w:val="0"/>
              <w:spacing w:lineRule="auto" w:line="266" w:before="240" w:after="0"/>
              <w:ind w:left="0" w:right="0" w:hanging="0"/>
              <w:jc w:val="center"/>
              <w:rPr>
                <w:rFonts w:ascii="Times New Roman;Times;serif" w:hAnsi="Times New Roman;Times;serif"/>
                <w:b/>
                <w:sz w:val="20"/>
              </w:rPr>
            </w:pPr>
            <w:r>
              <w:rPr>
                <w:rFonts w:ascii="Times New Roman;Times;serif" w:hAnsi="Times New Roman;Times;serif"/>
                <w:b/>
                <w:sz w:val="20"/>
              </w:rPr>
              <w:t>32789</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66" w:before="0" w:after="0"/>
        <w:ind w:left="0" w:right="0" w:hanging="0"/>
        <w:jc w:val="left"/>
        <w:rPr/>
      </w:pPr>
      <w:r>
        <w:rPr/>
        <w:t xml:space="preserve">  </w:t>
      </w:r>
    </w:p>
    <w:p>
      <w:pPr>
        <w:pStyle w:val="TextBody"/>
        <w:bidi w:val="0"/>
        <w:spacing w:lineRule="auto" w:line="266" w:before="0" w:after="0"/>
        <w:ind w:left="0" w:right="0" w:hanging="0"/>
        <w:jc w:val="center"/>
        <w:rPr>
          <w:rFonts w:ascii="Helvetica;sans-serif" w:hAnsi="Helvetica;sans-serif"/>
          <w:sz w:val="22"/>
        </w:rPr>
      </w:pPr>
      <w:r>
        <w:rPr>
          <w:rFonts w:ascii="Times New Roman;Times;serif" w:hAnsi="Times New Roman;Times;serif"/>
          <w:sz w:val="20"/>
        </w:rPr>
        <w:t>Registrant’s telephone number, including area code: </w:t>
      </w:r>
      <w:r>
        <w:rPr>
          <w:rFonts w:ascii="Times New Roman;Times;serif" w:hAnsi="Times New Roman;Times;serif"/>
          <w:b/>
          <w:sz w:val="20"/>
        </w:rPr>
        <w:t>(407) 904-3324</w:t>
      </w:r>
      <w:r>
        <w:rPr>
          <w:rFonts w:ascii="Helvetica;sans-serif" w:hAnsi="Helvetica;sans-serif"/>
          <w:sz w:val="22"/>
        </w:rPr>
        <w:t xml:space="preserve"> </w:t>
      </w:r>
    </w:p>
    <w:p>
      <w:pPr>
        <w:pStyle w:val="TextBody"/>
        <w:bidi w:val="0"/>
        <w:spacing w:lineRule="auto" w:line="266" w:before="0" w:after="0"/>
        <w:ind w:left="0" w:right="0" w:hanging="0"/>
        <w:jc w:val="center"/>
        <w:rPr/>
      </w:pPr>
      <w:r>
        <w:rPr/>
        <w:t xml:space="preserve">  </w:t>
      </w:r>
    </w:p>
    <w:p>
      <w:pPr>
        <w:pStyle w:val="TextBody"/>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(Former name or former address, if changed since last report.) </w:t>
      </w:r>
    </w:p>
    <w:p>
      <w:pPr>
        <w:pStyle w:val="TextBody"/>
        <w:bidi w:val="0"/>
        <w:spacing w:lineRule="auto" w:line="266" w:before="0" w:after="0"/>
        <w:ind w:left="0" w:right="0" w:hanging="0"/>
        <w:jc w:val="left"/>
        <w:rPr/>
      </w:pPr>
      <w:r>
        <w:rPr/>
        <w:t xml:space="preserve">  </w:t>
      </w:r>
    </w:p>
    <w:p>
      <w:pPr>
        <w:pStyle w:val="TextBody"/>
        <w:bidi w:val="0"/>
        <w:spacing w:lineRule="auto" w:line="266" w:before="0" w:after="120"/>
        <w:ind w:left="0" w:right="0" w:hanging="0"/>
        <w:jc w:val="left"/>
        <w:rPr>
          <w:rFonts w:ascii="Times New Roman;Times;serif" w:hAnsi="Times New Roman;Times;serif"/>
          <w:sz w:val="20"/>
        </w:rPr>
      </w:pPr>
      <w:r>
        <w:rPr>
          <w:rFonts w:ascii="Times New Roman;Times;serif" w:hAnsi="Times New Roman;Times;serif"/>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66" w:before="0" w:after="0"/>
        <w:ind w:left="0" w:right="0" w:hanging="0"/>
        <w:jc w:val="left"/>
        <w:rPr/>
      </w:pPr>
      <w:r>
        <w:rPr/>
        <w:t xml:space="preserve">☐ </w:t>
      </w:r>
      <w:r>
        <w:rPr>
          <w:rFonts w:ascii="Times New Roman;Times;serif" w:hAnsi="Times New Roman;Times;serif"/>
          <w:sz w:val="20"/>
        </w:rPr>
        <w:t xml:space="preserve">Written communications pursuant to Rule 425 under the Securities Act (17 CFR 230.425) </w:t>
      </w:r>
    </w:p>
    <w:p>
      <w:pPr>
        <w:pStyle w:val="TextBody"/>
        <w:bidi w:val="0"/>
        <w:spacing w:lineRule="auto" w:line="266" w:before="0" w:after="0"/>
        <w:ind w:left="0" w:right="0" w:hanging="0"/>
        <w:jc w:val="left"/>
        <w:rPr/>
      </w:pPr>
      <w:r>
        <w:rPr/>
        <w:t xml:space="preserve">☐ </w:t>
      </w:r>
      <w:r>
        <w:rPr>
          <w:rFonts w:ascii="Times New Roman;Times;serif" w:hAnsi="Times New Roman;Times;serif"/>
          <w:sz w:val="20"/>
        </w:rPr>
        <w:t xml:space="preserve">Soliciting material pursuant to Rule 14a-12 under the Exchange Act (17 CFR 240.14a-12) </w:t>
      </w:r>
    </w:p>
    <w:p>
      <w:pPr>
        <w:pStyle w:val="TextBody"/>
        <w:bidi w:val="0"/>
        <w:spacing w:lineRule="auto" w:line="266" w:before="0" w:after="0"/>
        <w:ind w:left="0" w:right="0" w:hanging="0"/>
        <w:jc w:val="left"/>
        <w:rPr/>
      </w:pPr>
      <w:r>
        <w:rPr/>
        <w:t xml:space="preserve">☐ </w:t>
      </w:r>
      <w:r>
        <w:rPr>
          <w:rFonts w:ascii="Times New Roman;Times;serif" w:hAnsi="Times New Roman;Times;serif"/>
          <w:sz w:val="20"/>
        </w:rPr>
        <w:t xml:space="preserve">Pre-commencement communications pursuant to Rule 14d-2(b) under the Exchange Act (17 CFR 240.14d-2(b)) </w:t>
      </w:r>
    </w:p>
    <w:p>
      <w:pPr>
        <w:pStyle w:val="TextBody"/>
        <w:bidi w:val="0"/>
        <w:spacing w:lineRule="auto" w:line="266" w:before="0" w:after="200"/>
        <w:ind w:left="0" w:right="0" w:hanging="0"/>
        <w:jc w:val="left"/>
        <w:rPr/>
      </w:pPr>
      <w:r>
        <w:rPr/>
        <w:t xml:space="preserve">☐ </w:t>
      </w:r>
      <w:r>
        <w:rPr>
          <w:rFonts w:ascii="Times New Roman;Times;serif" w:hAnsi="Times New Roman;Times;serif"/>
          <w:sz w:val="20"/>
        </w:rPr>
        <w:t xml:space="preserve">Pre-commencement communications pursuant to Rule 13e-4(c) under the Exchange Act (17 CFR 240.13e-4(c)) </w:t>
      </w:r>
    </w:p>
    <w:p>
      <w:pPr>
        <w:pStyle w:val="TextBody"/>
        <w:bidi w:val="0"/>
        <w:spacing w:lineRule="auto" w:line="266" w:before="0" w:after="0"/>
        <w:ind w:left="0" w:right="0" w:hanging="0"/>
        <w:jc w:val="left"/>
        <w:rPr>
          <w:rFonts w:ascii="Times New Roman;Times;serif" w:hAnsi="Times New Roman;Times;serif"/>
          <w:sz w:val="20"/>
        </w:rPr>
      </w:pPr>
      <w:r>
        <w:rPr>
          <w:rFonts w:ascii="Times New Roman;Times;serif" w:hAnsi="Times New Roman;Times;serif"/>
          <w:sz w:val="20"/>
        </w:rPr>
        <w:t xml:space="preserve">Securities registered pursuant to Section 12(b) of the Act: </w:t>
      </w:r>
    </w:p>
    <w:p>
      <w:pPr>
        <w:pStyle w:val="TextBody"/>
        <w:bidi w:val="0"/>
        <w:spacing w:lineRule="auto" w:line="285" w:before="10" w:after="10"/>
        <w:ind w:left="0" w:right="0" w:hanging="0"/>
        <w:jc w:val="left"/>
        <w:rPr/>
      </w:pPr>
      <w:r>
        <w:rPr/>
        <w:t> </w:t>
      </w:r>
    </w:p>
    <w:p>
      <w:pPr>
        <w:pStyle w:val="Normal"/>
        <w:bidi w:val="0"/>
        <w:spacing w:before="0" w:after="0"/>
        <w:jc w:val="left"/>
        <w:rPr>
          <w:sz w:val="4"/>
          <w:szCs w:val="4"/>
        </w:rPr>
      </w:pPr>
      <w:r>
        <w:rPr>
          <w:sz w:val="4"/>
          <w:szCs w:val="4"/>
        </w:rPr>
      </w:r>
      <w:bookmarkStart w:id="3" w:name="Tc_CMAcsD5UiUWMFgleNWc7nA_2_4"/>
      <w:bookmarkStart w:id="4" w:name="Tc_FpC-IjO8rUyN4sWRV4fA5Q_2_2"/>
      <w:bookmarkStart w:id="5" w:name="Tc_T3LWyZUO-U-89qY-EI0p_Q_2_0"/>
      <w:bookmarkStart w:id="6" w:name="Tc_IXy8oI5PBEeMZAtdKTi4vg_0_0"/>
      <w:bookmarkStart w:id="7" w:name="_af1ec796_eb10_48d6_ba67_562dfe5b1f10"/>
      <w:bookmarkStart w:id="8" w:name="Tc_CMAcsD5UiUWMFgleNWc7nA_2_4"/>
      <w:bookmarkStart w:id="9" w:name="Tc_FpC-IjO8rUyN4sWRV4fA5Q_2_2"/>
      <w:bookmarkStart w:id="10" w:name="Tc_T3LWyZUO-U-89qY-EI0p_Q_2_0"/>
      <w:bookmarkStart w:id="11" w:name="Tc_IXy8oI5PBEeMZAtdKTi4vg_0_0"/>
      <w:bookmarkStart w:id="12" w:name="_af1ec796_eb10_48d6_ba67_562dfe5b1f10"/>
      <w:bookmarkEnd w:id="8"/>
      <w:bookmarkEnd w:id="9"/>
      <w:bookmarkEnd w:id="10"/>
      <w:bookmarkEnd w:id="11"/>
      <w:bookmarkEnd w:id="12"/>
    </w:p>
    <w:tbl>
      <w:tblPr>
        <w:tblW w:w="10205" w:type="dxa"/>
        <w:jc w:val="left"/>
        <w:tblInd w:w="0" w:type="dxa"/>
        <w:tblLayout w:type="fixed"/>
        <w:tblCellMar>
          <w:top w:w="0" w:type="dxa"/>
          <w:left w:w="0" w:type="dxa"/>
          <w:bottom w:w="0" w:type="dxa"/>
          <w:right w:w="0" w:type="dxa"/>
        </w:tblCellMar>
      </w:tblPr>
      <w:tblGrid>
        <w:gridCol w:w="4447"/>
        <w:gridCol w:w="346"/>
        <w:gridCol w:w="1209"/>
        <w:gridCol w:w="346"/>
        <w:gridCol w:w="3857"/>
      </w:tblGrid>
      <w:tr>
        <w:trPr/>
        <w:tc>
          <w:tcPr>
            <w:tcW w:w="4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823845" cy="146685"/>
                      <wp:effectExtent l="0" t="0" r="0" b="0"/>
                      <wp:wrapNone/>
                      <wp:docPr id="1" name="Frame1"/>
                      <a:graphic xmlns:a="http://schemas.openxmlformats.org/drawingml/2006/main">
                        <a:graphicData uri="http://schemas.microsoft.com/office/word/2010/wordprocessingShape">
                          <wps:wsp>
                            <wps:cNvSpPr txBox="1"/>
                            <wps:spPr>
                              <a:xfrm>
                                <a:off x="0" y="0"/>
                                <a:ext cx="2823845" cy="146685"/>
                              </a:xfrm>
                              <a:prstGeom prst="rect"/>
                              <a:solidFill>
                                <a:srgbClr val="FFFFFF"/>
                              </a:solidFill>
                            </wps:spPr>
                            <wps:txbx>
                              <w:txbxContent>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.01</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49195" cy="29210"/>
                      <wp:effectExtent l="0" t="0" r="0" b="0"/>
                      <wp:wrapNone/>
                      <wp:docPr id="3" name="Frame3"/>
                      <a:graphic xmlns:a="http://schemas.openxmlformats.org/drawingml/2006/main">
                        <a:graphicData uri="http://schemas.microsoft.com/office/word/2010/wordprocessingShape">
                          <wps:wsp>
                            <wps:cNvSpPr txBox="1"/>
                            <wps:spPr>
                              <a:xfrm>
                                <a:off x="0" y="0"/>
                                <a:ext cx="24491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447"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left"/>
              <w:rPr/>
            </w:pPr>
            <w:r>
              <w:rPr/>
              <w:t> </w:t>
            </w:r>
          </w:p>
        </w:tc>
        <w:tc>
          <w:tcPr>
            <w:tcW w:w="1209"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left"/>
              <w:rPr/>
            </w:pPr>
            <w:r>
              <w:rPr/>
              <w:t> </w:t>
            </w:r>
          </w:p>
        </w:tc>
        <w:tc>
          <w:tcPr>
            <w:tcW w:w="3857" w:type="dxa"/>
            <w:tcBorders/>
            <w:vAlign w:val="center"/>
          </w:tcPr>
          <w:p>
            <w:pPr>
              <w:pStyle w:val="TableContents"/>
              <w:bidi w:val="0"/>
              <w:spacing w:lineRule="auto" w:line="285" w:before="0" w:after="0"/>
              <w:ind w:left="0" w:right="0" w:hanging="0"/>
              <w:jc w:val="left"/>
              <w:rPr/>
            </w:pPr>
            <w:r>
              <w:rPr/>
              <w:t> </w:t>
            </w:r>
          </w:p>
        </w:tc>
      </w:tr>
      <w:tr>
        <w:trPr/>
        <w:tc>
          <w:tcPr>
            <w:tcW w:w="4447"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1209"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pPr>
            <w:r>
              <w:rPr/>
              <w:t>  ​ ​ ​</w:t>
            </w:r>
          </w:p>
        </w:tc>
        <w:tc>
          <w:tcPr>
            <w:tcW w:w="3857" w:type="dxa"/>
            <w:tcBorders>
              <w:bottom w:val="single" w:sz="8"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447"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 per share</w:t>
            </w:r>
          </w:p>
        </w:tc>
        <w:tc>
          <w:tcPr>
            <w:tcW w:w="346" w:type="dxa"/>
            <w:tcBorders/>
            <w:vAlign w:val="center"/>
          </w:tcPr>
          <w:p>
            <w:pPr>
              <w:pStyle w:val="TableContents"/>
              <w:bidi w:val="0"/>
              <w:spacing w:lineRule="auto" w:line="285" w:before="0" w:after="0"/>
              <w:ind w:left="0" w:right="0" w:hanging="0"/>
              <w:jc w:val="left"/>
              <w:rPr/>
            </w:pPr>
            <w:r>
              <w:rPr/>
              <w:t> </w:t>
            </w:r>
          </w:p>
        </w:tc>
        <w:tc>
          <w:tcPr>
            <w:tcW w:w="1209"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CTO</w:t>
            </w:r>
          </w:p>
        </w:tc>
        <w:tc>
          <w:tcPr>
            <w:tcW w:w="346" w:type="dxa"/>
            <w:tcBorders/>
            <w:vAlign w:val="center"/>
          </w:tcPr>
          <w:p>
            <w:pPr>
              <w:pStyle w:val="TableContents"/>
              <w:bidi w:val="0"/>
              <w:spacing w:lineRule="auto" w:line="285" w:before="0" w:after="0"/>
              <w:ind w:left="0" w:right="0" w:hanging="0"/>
              <w:jc w:val="left"/>
              <w:rPr/>
            </w:pPr>
            <w:r>
              <w:rPr/>
              <w:t> </w:t>
            </w:r>
          </w:p>
        </w:tc>
        <w:tc>
          <w:tcPr>
            <w:tcW w:w="3857" w:type="dxa"/>
            <w:tcBorders>
              <w:top w:val="single" w:sz="8"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NYSE </w:t>
            </w:r>
          </w:p>
          <w:p>
            <w:pPr>
              <w:pStyle w:val="TableContents"/>
              <w:bidi w:val="0"/>
              <w:spacing w:lineRule="auto" w:line="307" w:before="0" w:after="160"/>
              <w:ind w:left="0" w:right="0" w:hanging="0"/>
              <w:jc w:val="center"/>
              <w:rPr/>
            </w:pPr>
            <w:r>
              <w:rPr/>
              <w:t>​</w:t>
            </w:r>
          </w:p>
        </w:tc>
      </w:tr>
      <w:tr>
        <w:trPr/>
        <w:tc>
          <w:tcPr>
            <w:tcW w:w="4447"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6.375% Series A Cumulative Redeemable Preferred Stock, $0.01 par value per share</w:t>
            </w:r>
          </w:p>
        </w:tc>
        <w:tc>
          <w:tcPr>
            <w:tcW w:w="346" w:type="dxa"/>
            <w:tcBorders/>
            <w:vAlign w:val="center"/>
          </w:tcPr>
          <w:p>
            <w:pPr>
              <w:pStyle w:val="TableContents"/>
              <w:bidi w:val="0"/>
              <w:spacing w:lineRule="auto" w:line="307" w:before="0" w:after="160"/>
              <w:ind w:left="0" w:right="0" w:hanging="0"/>
              <w:jc w:val="left"/>
              <w:rPr/>
            </w:pPr>
            <w:r>
              <w:rPr/>
              <w:t>​</w:t>
            </w:r>
          </w:p>
        </w:tc>
        <w:tc>
          <w:tcPr>
            <w:tcW w:w="1209"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CTO-PA</w:t>
            </w:r>
          </w:p>
        </w:tc>
        <w:tc>
          <w:tcPr>
            <w:tcW w:w="346" w:type="dxa"/>
            <w:tcBorders/>
            <w:vAlign w:val="center"/>
          </w:tcPr>
          <w:p>
            <w:pPr>
              <w:pStyle w:val="TableContents"/>
              <w:bidi w:val="0"/>
              <w:spacing w:lineRule="auto" w:line="307" w:before="0" w:after="160"/>
              <w:ind w:left="0" w:right="0" w:hanging="0"/>
              <w:jc w:val="left"/>
              <w:rPr/>
            </w:pPr>
            <w:r>
              <w:rPr/>
              <w:t>​</w:t>
            </w:r>
          </w:p>
        </w:tc>
        <w:tc>
          <w:tcPr>
            <w:tcW w:w="3857" w:type="dxa"/>
            <w:tcBorders/>
            <w:vAlign w:val="center"/>
          </w:tcPr>
          <w:p>
            <w:pPr>
              <w:pStyle w:val="TableContents"/>
              <w:bidi w:val="0"/>
              <w:spacing w:lineRule="auto" w:line="307" w:before="0" w:after="160"/>
              <w:ind w:left="0" w:right="0" w:hanging="0"/>
              <w:jc w:val="center"/>
              <w:rPr/>
            </w:pPr>
            <w:r>
              <w:rPr/>
              <w:t>​</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NYSE</w:t>
            </w:r>
          </w:p>
        </w:tc>
      </w:tr>
    </w:tbl>
    <w:p>
      <w:pPr>
        <w:pStyle w:val="TextBody"/>
        <w:bidi w:val="0"/>
        <w:spacing w:lineRule="auto" w:line="285" w:before="0" w:after="0"/>
        <w:ind w:left="0" w:right="0" w:hanging="0"/>
        <w:jc w:val="left"/>
        <w:rPr/>
      </w:pPr>
      <w:r>
        <w:rPr/>
        <w:t xml:space="preserve">  </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5" w:before="0" w:after="200"/>
        <w:ind w:left="0" w:right="0" w:hanging="0"/>
        <w:jc w:val="left"/>
        <w:rPr>
          <w:rFonts w:ascii="Helvetica;sans-serif" w:hAnsi="Helvetica;sans-serif"/>
          <w:sz w:val="22"/>
        </w:rPr>
      </w:pPr>
      <w:r>
        <w:rPr>
          <w:rFonts w:ascii="Times New Roman;Times;serif" w:hAnsi="Times New Roman;Times;serif"/>
          <w:sz w:val="20"/>
        </w:rPr>
        <w:t xml:space="preserve">Emerging growth company </w:t>
      </w:r>
      <w:r>
        <w:rPr>
          <w:rFonts w:ascii="Helvetica;sans-serif" w:hAnsi="Helvetica;sans-serif"/>
          <w:sz w:val="22"/>
        </w:rPr>
        <w:t xml:space="preserve">☐ </w:t>
      </w:r>
    </w:p>
    <w:p>
      <w:pPr>
        <w:pStyle w:val="TextBody"/>
        <w:bidi w:val="0"/>
        <w:spacing w:lineRule="auto" w:line="285" w:before="0" w:after="0"/>
        <w:ind w:left="0" w:right="0" w:hanging="0"/>
        <w:jc w:val="left"/>
        <w:rPr>
          <w:rFonts w:ascii="Helvetica;sans-serif" w:hAnsi="Helvetica;san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Helvetica;sans-serif" w:hAnsi="Helvetica;sans-serif"/>
          <w:sz w:val="20"/>
        </w:rPr>
        <w:t xml:space="preserve">☐ </w:t>
      </w:r>
    </w:p>
    <w:p>
      <w:pPr>
        <w:pStyle w:val="TextBody"/>
        <w:bidi w:val="0"/>
        <w:spacing w:lineRule="auto" w:line="285" w:before="0" w:after="0"/>
        <w:ind w:left="0" w:right="0" w:hanging="0"/>
        <w:jc w:val="left"/>
        <w:rPr/>
      </w:pPr>
      <w:r>
        <w:rPr/>
        <w:t xml:space="preserve">  </w:t>
      </w:r>
    </w:p>
    <w:p>
      <w:pPr>
        <w:pStyle w:val="TextBody"/>
        <w:pBdr>
          <w:top w:val="single" w:sz="8" w:space="1" w:color="000000"/>
          <w:bottom w:val="single" w:sz="24" w:space="1" w:color="000000"/>
        </w:pBdr>
        <w:bidi w:val="0"/>
        <w:spacing w:lineRule="auto" w:line="285" w:before="0" w:after="0"/>
        <w:ind w:left="0" w:right="0" w:hanging="0"/>
        <w:jc w:val="left"/>
        <w:rPr/>
      </w:pPr>
      <w:r>
        <w:rPr/>
        <w:t xml:space="preserve">  </w:t>
      </w:r>
    </w:p>
    <w:p>
      <w:pPr>
        <w:pStyle w:val="TextBody"/>
        <w:pBdr/>
        <w:bidi w:val="0"/>
        <w:spacing w:lineRule="auto" w:line="285" w:before="0" w:after="200"/>
        <w:ind w:left="0" w:right="0" w:hanging="1080"/>
        <w:jc w:val="left"/>
        <w:rPr>
          <w:rFonts w:ascii="Times New Roman;Times;serif" w:hAnsi="Times New Roman;Times;serif"/>
          <w:b/>
          <w:sz w:val="20"/>
        </w:rPr>
      </w:pPr>
      <w:bookmarkStart w:id="13" w:name="_aeaf5358_dc5e_4845_843d_8c208fbab7bc"/>
      <w:bookmarkEnd w:id="13"/>
      <w:r>
        <w:rPr>
          <w:rFonts w:ascii="Times New Roman;Times;serif" w:hAnsi="Times New Roman;Times;serif"/>
          <w:b/>
          <w:sz w:val="20"/>
        </w:rPr>
        <w:t>Item 5.07. Submission of Matters to a Vote of Security Holders.</w:t>
      </w:r>
    </w:p>
    <w:p>
      <w:pPr>
        <w:pStyle w:val="TextBody"/>
        <w:bidi w:val="0"/>
        <w:spacing w:lineRule="auto" w:line="285" w:before="200" w:after="200"/>
        <w:ind w:left="0" w:right="0" w:hanging="0"/>
        <w:jc w:val="left"/>
        <w:rPr>
          <w:rFonts w:ascii="Times New Roman;Times;serif" w:hAnsi="Times New Roman;Times;serif"/>
          <w:sz w:val="20"/>
        </w:rPr>
      </w:pPr>
      <w:r>
        <w:rPr>
          <w:rFonts w:ascii="Times New Roman;Times;serif" w:hAnsi="Times New Roman;Times;serif"/>
          <w:sz w:val="20"/>
        </w:rPr>
        <w:t>The 2026 Annual Meeting of Stockholders (the “2026 Annual Meeting”) of CTO Realty Growth, Inc. (the “Company”) was held on June 17, 2026. At the 2026 Annual Meeting, the Company’s stockholders (i) elected John P. Albright, George R. Brokaw, Christopher J. Drew, Laura M. Franklin, R. Blakeslee Gable and Christopher W. Haga to serve as members of the board of directors of the Company until the Company’s 2027 Annual Meeting of Stockholders; (ii) ratified the appointment of Grant Thornton LLP as the Company’s independent registered public accounting firm for the fiscal year ending December 31, 2026; (iii) approved, on a non-binding advisory basis, the compensation of the Company’s named executive officers (the “Say-on-Pay Vote”); and (iv) approved the CTO Realty Growth, Inc. Sixth Amended and Restated 2010 Equity Incentive Plan, replacing the Company’s Fifth Amended and Restated 2010 Equity Incentive Plan.</w:t>
      </w:r>
    </w:p>
    <w:p>
      <w:pPr>
        <w:pStyle w:val="TextBody"/>
        <w:bidi w:val="0"/>
        <w:spacing w:lineRule="auto" w:line="285" w:before="200" w:after="200"/>
        <w:ind w:left="0" w:right="0" w:hanging="0"/>
        <w:jc w:val="left"/>
        <w:rPr>
          <w:rFonts w:ascii="Times New Roman;Times;serif" w:hAnsi="Times New Roman;Times;serif"/>
          <w:sz w:val="20"/>
        </w:rPr>
      </w:pPr>
      <w:r>
        <w:rPr>
          <w:rFonts w:ascii="Times New Roman;Times;serif" w:hAnsi="Times New Roman;Times;serif"/>
          <w:sz w:val="20"/>
        </w:rPr>
        <w:t>The proposals below are described in detail in the Company’s definitive proxy statement dated April 28, 2026. The voting results for each proposal are as follows:</w:t>
      </w:r>
    </w:p>
    <w:p>
      <w:pPr>
        <w:pStyle w:val="TextBody"/>
        <w:bidi w:val="0"/>
        <w:spacing w:lineRule="auto" w:line="285" w:before="200" w:after="200"/>
        <w:ind w:left="0" w:right="0" w:hanging="0"/>
        <w:jc w:val="left"/>
        <w:rPr>
          <w:rFonts w:ascii="Times New Roman;Times;serif" w:hAnsi="Times New Roman;Times;serif"/>
          <w:b/>
          <w:sz w:val="20"/>
        </w:rPr>
      </w:pPr>
      <w:r>
        <w:rPr>
          <w:rFonts w:ascii="Times New Roman;Times;serif" w:hAnsi="Times New Roman;Times;serif"/>
          <w:b/>
          <w:sz w:val="20"/>
        </w:rPr>
        <w:t>Proposal 1 – Election of Directors:</w:t>
      </w:r>
    </w:p>
    <w:tbl>
      <w:tblPr>
        <w:tblW w:w="5375" w:type="dxa"/>
        <w:jc w:val="left"/>
        <w:tblInd w:w="0" w:type="dxa"/>
        <w:tblLayout w:type="fixed"/>
        <w:tblCellMar>
          <w:top w:w="0" w:type="dxa"/>
          <w:left w:w="0" w:type="dxa"/>
          <w:bottom w:w="0" w:type="dxa"/>
          <w:right w:w="0" w:type="dxa"/>
        </w:tblCellMar>
      </w:tblPr>
      <w:tblGrid>
        <w:gridCol w:w="1636"/>
        <w:gridCol w:w="916"/>
        <w:gridCol w:w="856"/>
        <w:gridCol w:w="826"/>
        <w:gridCol w:w="1141"/>
      </w:tblGrid>
      <w:tr>
        <w:trPr/>
        <w:tc>
          <w:tcPr>
            <w:tcW w:w="1636"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DIRECTOR</w:t>
            </w:r>
          </w:p>
        </w:tc>
        <w:tc>
          <w:tcPr>
            <w:tcW w:w="916"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856"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826"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1141"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BROKER</w:t>
              <w:br/>
              <w:t>NON-VOTES</w:t>
            </w:r>
          </w:p>
        </w:tc>
      </w:tr>
      <w:tr>
        <w:trPr/>
        <w:tc>
          <w:tcPr>
            <w:tcW w:w="1636" w:type="dxa"/>
            <w:tcBorders/>
            <w:vAlign w:val="center"/>
          </w:tcPr>
          <w:p>
            <w:pPr>
              <w:pStyle w:val="TableContents"/>
              <w:pBdr/>
              <w:bidi w:val="0"/>
              <w:spacing w:lineRule="auto" w:line="285" w:before="0" w:after="0"/>
              <w:ind w:left="0" w:right="0" w:hanging="0"/>
              <w:jc w:val="left"/>
              <w:rPr>
                <w:rFonts w:ascii="Times New Roman;Times;serif" w:hAnsi="Times New Roman;Times;serif"/>
                <w:b w:val="false"/>
                <w:i w:val="false"/>
                <w:caps w:val="false"/>
                <w:smallCaps w:val="false"/>
                <w:sz w:val="18"/>
                <w:shd w:fill="FFFFFF" w:val="clear"/>
              </w:rPr>
            </w:pPr>
            <w:r>
              <w:rPr>
                <w:rFonts w:ascii="Times New Roman;Times;serif" w:hAnsi="Times New Roman;Times;serif"/>
                <w:b w:val="false"/>
                <w:i w:val="false"/>
                <w:caps w:val="false"/>
                <w:smallCaps w:val="false"/>
                <w:sz w:val="18"/>
                <w:shd w:fill="FFFFFF" w:val="clear"/>
              </w:rPr>
              <w:t>John P. Albright</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86385" cy="175895"/>
                      <wp:effectExtent l="0" t="0" r="0" b="0"/>
                      <wp:wrapNone/>
                      <wp:docPr id="4" name="Frame4"/>
                      <a:graphic xmlns:a="http://schemas.openxmlformats.org/drawingml/2006/main">
                        <a:graphicData uri="http://schemas.microsoft.com/office/word/2010/wordprocessingShape">
                          <wps:wsp>
                            <wps:cNvSpPr txBox="1"/>
                            <wps:spPr>
                              <a:xfrm>
                                <a:off x="0" y="0"/>
                                <a:ext cx="28638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c>
        <w:tc>
          <w:tcPr>
            <w:tcW w:w="91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19,004,020</w:t>
            </w:r>
          </w:p>
        </w:tc>
        <w:tc>
          <w:tcPr>
            <w:tcW w:w="85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98,000</w:t>
            </w:r>
          </w:p>
        </w:tc>
        <w:tc>
          <w:tcPr>
            <w:tcW w:w="82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59,204</w:t>
            </w:r>
          </w:p>
        </w:tc>
        <w:tc>
          <w:tcPr>
            <w:tcW w:w="114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6,648,270</w:t>
            </w:r>
          </w:p>
        </w:tc>
      </w:tr>
      <w:tr>
        <w:trPr/>
        <w:tc>
          <w:tcPr>
            <w:tcW w:w="1636" w:type="dxa"/>
            <w:tcBorders/>
            <w:vAlign w:val="center"/>
          </w:tcPr>
          <w:p>
            <w:pPr>
              <w:pStyle w:val="TableContents"/>
              <w:pBdr/>
              <w:bidi w:val="0"/>
              <w:spacing w:lineRule="auto" w:line="285" w:before="0" w:after="0"/>
              <w:ind w:left="0" w:right="0" w:hanging="0"/>
              <w:jc w:val="left"/>
              <w:rPr>
                <w:rFonts w:ascii="Times New Roman;Times;serif" w:hAnsi="Times New Roman;Times;serif"/>
                <w:b w:val="false"/>
                <w:i w:val="false"/>
                <w:caps w:val="false"/>
                <w:smallCaps w:val="false"/>
                <w:sz w:val="18"/>
                <w:shd w:fill="FFFFFF" w:val="clear"/>
              </w:rPr>
            </w:pPr>
            <w:r>
              <w:rPr>
                <w:rFonts w:ascii="Times New Roman;Times;serif" w:hAnsi="Times New Roman;Times;serif"/>
                <w:b w:val="false"/>
                <w:i w:val="false"/>
                <w:caps w:val="false"/>
                <w:smallCaps w:val="false"/>
                <w:sz w:val="18"/>
                <w:shd w:fill="FFFFFF" w:val="clear"/>
              </w:rPr>
              <w:t>George R. Brokaw</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78435" cy="175895"/>
                      <wp:effectExtent l="0" t="0" r="0" b="0"/>
                      <wp:wrapNone/>
                      <wp:docPr id="5" name="Frame5"/>
                      <a:graphic xmlns:a="http://schemas.openxmlformats.org/drawingml/2006/main">
                        <a:graphicData uri="http://schemas.microsoft.com/office/word/2010/wordprocessingShape">
                          <wps:wsp>
                            <wps:cNvSpPr txBox="1"/>
                            <wps:spPr>
                              <a:xfrm>
                                <a:off x="0" y="0"/>
                                <a:ext cx="17843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c>
        <w:tc>
          <w:tcPr>
            <w:tcW w:w="91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17,368,313</w:t>
            </w:r>
          </w:p>
        </w:tc>
        <w:tc>
          <w:tcPr>
            <w:tcW w:w="85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1,701,102</w:t>
            </w:r>
          </w:p>
        </w:tc>
        <w:tc>
          <w:tcPr>
            <w:tcW w:w="82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91,809</w:t>
            </w:r>
          </w:p>
        </w:tc>
        <w:tc>
          <w:tcPr>
            <w:tcW w:w="114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6,648,270</w:t>
            </w:r>
          </w:p>
        </w:tc>
      </w:tr>
      <w:tr>
        <w:trPr/>
        <w:tc>
          <w:tcPr>
            <w:tcW w:w="1636" w:type="dxa"/>
            <w:tcBorders/>
            <w:vAlign w:val="center"/>
          </w:tcPr>
          <w:p>
            <w:pPr>
              <w:pStyle w:val="TableContents"/>
              <w:pBdr/>
              <w:bidi w:val="0"/>
              <w:spacing w:lineRule="auto" w:line="285" w:before="0" w:after="0"/>
              <w:ind w:left="0" w:right="0" w:hanging="0"/>
              <w:jc w:val="left"/>
              <w:rPr>
                <w:rFonts w:ascii="Times New Roman;Times;serif" w:hAnsi="Times New Roman;Times;serif"/>
                <w:b w:val="false"/>
                <w:i w:val="false"/>
                <w:caps w:val="false"/>
                <w:smallCaps w:val="false"/>
                <w:sz w:val="18"/>
                <w:shd w:fill="FFFFFF" w:val="clear"/>
              </w:rPr>
            </w:pPr>
            <w:r>
              <w:rPr>
                <w:rFonts w:ascii="Times New Roman;Times;serif" w:hAnsi="Times New Roman;Times;serif"/>
                <w:b w:val="false"/>
                <w:i w:val="false"/>
                <w:caps w:val="false"/>
                <w:smallCaps w:val="false"/>
                <w:sz w:val="18"/>
                <w:shd w:fill="FFFFFF" w:val="clear"/>
              </w:rPr>
              <w:t>Christopher J. Drew</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14935" cy="175895"/>
                      <wp:effectExtent l="0" t="0" r="0" b="0"/>
                      <wp:wrapNone/>
                      <wp:docPr id="6" name="Frame6"/>
                      <a:graphic xmlns:a="http://schemas.openxmlformats.org/drawingml/2006/main">
                        <a:graphicData uri="http://schemas.microsoft.com/office/word/2010/wordprocessingShape">
                          <wps:wsp>
                            <wps:cNvSpPr txBox="1"/>
                            <wps:spPr>
                              <a:xfrm>
                                <a:off x="0" y="0"/>
                                <a:ext cx="11493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c>
        <w:tc>
          <w:tcPr>
            <w:tcW w:w="91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18,389,610</w:t>
            </w:r>
          </w:p>
        </w:tc>
        <w:tc>
          <w:tcPr>
            <w:tcW w:w="85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678,008</w:t>
            </w:r>
          </w:p>
        </w:tc>
        <w:tc>
          <w:tcPr>
            <w:tcW w:w="82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93,606</w:t>
            </w:r>
          </w:p>
        </w:tc>
        <w:tc>
          <w:tcPr>
            <w:tcW w:w="114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6,648,270</w:t>
            </w:r>
          </w:p>
        </w:tc>
      </w:tr>
      <w:tr>
        <w:trPr/>
        <w:tc>
          <w:tcPr>
            <w:tcW w:w="1636" w:type="dxa"/>
            <w:tcBorders/>
            <w:vAlign w:val="center"/>
          </w:tcPr>
          <w:p>
            <w:pPr>
              <w:pStyle w:val="TableContents"/>
              <w:pBdr/>
              <w:bidi w:val="0"/>
              <w:spacing w:lineRule="auto" w:line="285" w:before="0" w:after="0"/>
              <w:ind w:left="0" w:right="0" w:hanging="0"/>
              <w:jc w:val="left"/>
              <w:rPr>
                <w:rFonts w:ascii="Times New Roman;Times;serif" w:hAnsi="Times New Roman;Times;serif"/>
                <w:b w:val="false"/>
                <w:i w:val="false"/>
                <w:caps w:val="false"/>
                <w:smallCaps w:val="false"/>
                <w:sz w:val="18"/>
                <w:shd w:fill="FFFFFF" w:val="clear"/>
              </w:rPr>
            </w:pPr>
            <w:r>
              <w:rPr>
                <w:rFonts w:ascii="Times New Roman;Times;serif" w:hAnsi="Times New Roman;Times;serif"/>
                <w:b w:val="false"/>
                <w:i w:val="false"/>
                <w:caps w:val="false"/>
                <w:smallCaps w:val="false"/>
                <w:sz w:val="18"/>
                <w:shd w:fill="FFFFFF" w:val="clear"/>
              </w:rPr>
              <w:t>Laura M. Franklin</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97485" cy="175895"/>
                      <wp:effectExtent l="0" t="0" r="0" b="0"/>
                      <wp:wrapNone/>
                      <wp:docPr id="7" name="Frame7"/>
                      <a:graphic xmlns:a="http://schemas.openxmlformats.org/drawingml/2006/main">
                        <a:graphicData uri="http://schemas.microsoft.com/office/word/2010/wordprocessingShape">
                          <wps:wsp>
                            <wps:cNvSpPr txBox="1"/>
                            <wps:spPr>
                              <a:xfrm>
                                <a:off x="0" y="0"/>
                                <a:ext cx="19748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c>
        <w:tc>
          <w:tcPr>
            <w:tcW w:w="91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18,943,996</w:t>
            </w:r>
          </w:p>
        </w:tc>
        <w:tc>
          <w:tcPr>
            <w:tcW w:w="85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129,457</w:t>
            </w:r>
          </w:p>
        </w:tc>
        <w:tc>
          <w:tcPr>
            <w:tcW w:w="82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87,771</w:t>
            </w:r>
          </w:p>
        </w:tc>
        <w:tc>
          <w:tcPr>
            <w:tcW w:w="114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6,648,270</w:t>
            </w:r>
          </w:p>
        </w:tc>
      </w:tr>
      <w:tr>
        <w:trPr/>
        <w:tc>
          <w:tcPr>
            <w:tcW w:w="1636" w:type="dxa"/>
            <w:tcBorders/>
            <w:vAlign w:val="center"/>
          </w:tcPr>
          <w:p>
            <w:pPr>
              <w:pStyle w:val="TableContents"/>
              <w:pBdr/>
              <w:bidi w:val="0"/>
              <w:spacing w:lineRule="auto" w:line="285" w:before="0" w:after="0"/>
              <w:ind w:left="0" w:right="0" w:hanging="0"/>
              <w:jc w:val="left"/>
              <w:rPr>
                <w:rFonts w:ascii="Times New Roman;Times;serif" w:hAnsi="Times New Roman;Times;serif"/>
                <w:b w:val="false"/>
                <w:i w:val="false"/>
                <w:caps w:val="false"/>
                <w:smallCaps w:val="false"/>
                <w:sz w:val="18"/>
                <w:shd w:fill="FFFFFF" w:val="clear"/>
              </w:rPr>
            </w:pPr>
            <w:r>
              <w:rPr>
                <w:rFonts w:ascii="Times New Roman;Times;serif" w:hAnsi="Times New Roman;Times;serif"/>
                <w:b w:val="false"/>
                <w:i w:val="false"/>
                <w:caps w:val="false"/>
                <w:smallCaps w:val="false"/>
                <w:sz w:val="18"/>
                <w:shd w:fill="FFFFFF" w:val="clear"/>
              </w:rPr>
              <w:t>R. Blakeslee Gable</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0020" cy="175895"/>
                      <wp:effectExtent l="0" t="0" r="0" b="0"/>
                      <wp:wrapNone/>
                      <wp:docPr id="8" name="Frame8"/>
                      <a:graphic xmlns:a="http://schemas.openxmlformats.org/drawingml/2006/main">
                        <a:graphicData uri="http://schemas.microsoft.com/office/word/2010/wordprocessingShape">
                          <wps:wsp>
                            <wps:cNvSpPr txBox="1"/>
                            <wps:spPr>
                              <a:xfrm>
                                <a:off x="0" y="0"/>
                                <a:ext cx="160020"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c>
        <w:tc>
          <w:tcPr>
            <w:tcW w:w="91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17,404,375</w:t>
            </w:r>
          </w:p>
        </w:tc>
        <w:tc>
          <w:tcPr>
            <w:tcW w:w="85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1,663,923</w:t>
            </w:r>
          </w:p>
        </w:tc>
        <w:tc>
          <w:tcPr>
            <w:tcW w:w="82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92,926</w:t>
            </w:r>
          </w:p>
        </w:tc>
        <w:tc>
          <w:tcPr>
            <w:tcW w:w="114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6,648,270</w:t>
            </w:r>
          </w:p>
        </w:tc>
      </w:tr>
      <w:tr>
        <w:trPr/>
        <w:tc>
          <w:tcPr>
            <w:tcW w:w="1636" w:type="dxa"/>
            <w:tcBorders/>
            <w:vAlign w:val="center"/>
          </w:tcPr>
          <w:p>
            <w:pPr>
              <w:pStyle w:val="TableContents"/>
              <w:pBdr/>
              <w:bidi w:val="0"/>
              <w:spacing w:lineRule="auto" w:line="285" w:before="0" w:after="0"/>
              <w:ind w:left="0" w:right="0" w:hanging="0"/>
              <w:jc w:val="left"/>
              <w:rPr>
                <w:rFonts w:ascii="Times New Roman;Times;serif" w:hAnsi="Times New Roman;Times;serif"/>
                <w:b w:val="false"/>
                <w:i w:val="false"/>
                <w:caps w:val="false"/>
                <w:smallCaps w:val="false"/>
                <w:sz w:val="18"/>
                <w:shd w:fill="FFFFFF" w:val="clear"/>
              </w:rPr>
            </w:pPr>
            <w:r>
              <w:rPr>
                <w:rFonts w:ascii="Times New Roman;Times;serif" w:hAnsi="Times New Roman;Times;serif"/>
                <w:b w:val="false"/>
                <w:i w:val="false"/>
                <w:caps w:val="false"/>
                <w:smallCaps w:val="false"/>
                <w:sz w:val="18"/>
                <w:shd w:fill="FFFFFF" w:val="clear"/>
              </w:rPr>
              <w:t>Christopher W. Haga</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770" cy="175895"/>
                      <wp:effectExtent l="0" t="0" r="0" b="0"/>
                      <wp:wrapNone/>
                      <wp:docPr id="9" name="Frame9"/>
                      <a:graphic xmlns:a="http://schemas.openxmlformats.org/drawingml/2006/main">
                        <a:graphicData uri="http://schemas.microsoft.com/office/word/2010/wordprocessingShape">
                          <wps:wsp>
                            <wps:cNvSpPr txBox="1"/>
                            <wps:spPr>
                              <a:xfrm>
                                <a:off x="0" y="0"/>
                                <a:ext cx="64770"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c>
        <w:tc>
          <w:tcPr>
            <w:tcW w:w="91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18,415,742</w:t>
            </w:r>
          </w:p>
        </w:tc>
        <w:tc>
          <w:tcPr>
            <w:tcW w:w="85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653,965</w:t>
            </w:r>
          </w:p>
        </w:tc>
        <w:tc>
          <w:tcPr>
            <w:tcW w:w="82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91,517</w:t>
            </w:r>
          </w:p>
        </w:tc>
        <w:tc>
          <w:tcPr>
            <w:tcW w:w="114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6,648,270</w:t>
            </w:r>
          </w:p>
        </w:tc>
      </w:tr>
    </w:tbl>
    <w:p>
      <w:pPr>
        <w:pStyle w:val="TextBody"/>
        <w:bidi w:val="0"/>
        <w:spacing w:lineRule="auto" w:line="307" w:before="0" w:after="160"/>
        <w:ind w:left="0" w:right="0" w:hanging="0"/>
        <w:jc w:val="left"/>
        <w:rPr/>
      </w:pPr>
      <w:r>
        <w:rPr/>
        <w:t>​</w:t>
      </w:r>
    </w:p>
    <w:p>
      <w:pPr>
        <w:pStyle w:val="TextBody"/>
        <w:bidi w:val="0"/>
        <w:spacing w:lineRule="auto" w:line="285" w:before="200" w:after="200"/>
        <w:ind w:left="0" w:right="0" w:hanging="0"/>
        <w:jc w:val="left"/>
        <w:rPr>
          <w:rFonts w:ascii="Times New Roman;Times;serif" w:hAnsi="Times New Roman;Times;serif"/>
          <w:b/>
          <w:sz w:val="20"/>
        </w:rPr>
      </w:pPr>
      <w:r>
        <w:rPr>
          <w:rFonts w:ascii="Times New Roman;Times;serif" w:hAnsi="Times New Roman;Times;serif"/>
          <w:b/>
          <w:sz w:val="20"/>
        </w:rPr>
        <w:t>Proposal 2 – Ratification of the appointment of Grant Thornton LLP as the Company’s independent registered public accounting firm for fiscal year 2026:</w:t>
      </w:r>
    </w:p>
    <w:tbl>
      <w:tblPr>
        <w:tblW w:w="2658" w:type="dxa"/>
        <w:jc w:val="left"/>
        <w:tblInd w:w="0" w:type="dxa"/>
        <w:tblLayout w:type="fixed"/>
        <w:tblCellMar>
          <w:top w:w="0" w:type="dxa"/>
          <w:left w:w="0" w:type="dxa"/>
          <w:bottom w:w="0" w:type="dxa"/>
          <w:right w:w="0" w:type="dxa"/>
        </w:tblCellMar>
      </w:tblPr>
      <w:tblGrid>
        <w:gridCol w:w="931"/>
        <w:gridCol w:w="856"/>
        <w:gridCol w:w="871"/>
      </w:tblGrid>
      <w:tr>
        <w:trPr/>
        <w:tc>
          <w:tcPr>
            <w:tcW w:w="931"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856"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871"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ABSTAIN</w:t>
            </w:r>
          </w:p>
        </w:tc>
      </w:tr>
      <w:tr>
        <w:trPr/>
        <w:tc>
          <w:tcPr>
            <w:tcW w:w="93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25,089,398</w:t>
            </w:r>
          </w:p>
        </w:tc>
        <w:tc>
          <w:tcPr>
            <w:tcW w:w="85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516,220</w:t>
            </w:r>
          </w:p>
        </w:tc>
        <w:tc>
          <w:tcPr>
            <w:tcW w:w="87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203,876</w:t>
            </w:r>
          </w:p>
        </w:tc>
      </w:tr>
    </w:tbl>
    <w:p>
      <w:pPr>
        <w:pStyle w:val="TextBody"/>
        <w:bidi w:val="0"/>
        <w:spacing w:lineRule="auto" w:line="307" w:before="0" w:after="160"/>
        <w:ind w:left="0" w:right="0" w:hanging="0"/>
        <w:jc w:val="left"/>
        <w:rPr/>
      </w:pPr>
      <w:r>
        <w:rPr/>
        <w:t>​</w:t>
      </w:r>
    </w:p>
    <w:p>
      <w:pPr>
        <w:pStyle w:val="TextBody"/>
        <w:bidi w:val="0"/>
        <w:spacing w:lineRule="auto" w:line="285" w:before="200" w:after="200"/>
        <w:ind w:left="0" w:right="0" w:hanging="0"/>
        <w:jc w:val="left"/>
        <w:rPr>
          <w:rFonts w:ascii="Times New Roman;Times;serif" w:hAnsi="Times New Roman;Times;serif"/>
          <w:b/>
          <w:sz w:val="20"/>
        </w:rPr>
      </w:pPr>
      <w:r>
        <w:rPr>
          <w:rFonts w:ascii="Times New Roman;Times;serif" w:hAnsi="Times New Roman;Times;serif"/>
          <w:b/>
          <w:sz w:val="20"/>
        </w:rPr>
        <w:t>Proposal 3 – The Say-on-Pay Vote:</w:t>
      </w:r>
    </w:p>
    <w:tbl>
      <w:tblPr>
        <w:tblW w:w="3754" w:type="dxa"/>
        <w:jc w:val="left"/>
        <w:tblInd w:w="0" w:type="dxa"/>
        <w:tblLayout w:type="fixed"/>
        <w:tblCellMar>
          <w:top w:w="0" w:type="dxa"/>
          <w:left w:w="0" w:type="dxa"/>
          <w:bottom w:w="0" w:type="dxa"/>
          <w:right w:w="0" w:type="dxa"/>
        </w:tblCellMar>
      </w:tblPr>
      <w:tblGrid>
        <w:gridCol w:w="931"/>
        <w:gridCol w:w="856"/>
        <w:gridCol w:w="826"/>
        <w:gridCol w:w="1141"/>
      </w:tblGrid>
      <w:tr>
        <w:trPr/>
        <w:tc>
          <w:tcPr>
            <w:tcW w:w="931"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856"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826"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1141"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BROKER</w:t>
              <w:br/>
              <w:t>NON-VOTES</w:t>
            </w:r>
          </w:p>
        </w:tc>
      </w:tr>
      <w:tr>
        <w:trPr/>
        <w:tc>
          <w:tcPr>
            <w:tcW w:w="93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18,569,289</w:t>
            </w:r>
          </w:p>
        </w:tc>
        <w:tc>
          <w:tcPr>
            <w:tcW w:w="85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427,622</w:t>
            </w:r>
          </w:p>
        </w:tc>
        <w:tc>
          <w:tcPr>
            <w:tcW w:w="82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164,314</w:t>
            </w:r>
          </w:p>
        </w:tc>
        <w:tc>
          <w:tcPr>
            <w:tcW w:w="114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6,648,270</w:t>
            </w:r>
          </w:p>
        </w:tc>
      </w:tr>
    </w:tbl>
    <w:p>
      <w:pPr>
        <w:pStyle w:val="TextBody"/>
        <w:bidi w:val="0"/>
        <w:spacing w:lineRule="auto" w:line="285" w:before="200" w:after="200"/>
        <w:ind w:left="0" w:right="0" w:hanging="0"/>
        <w:jc w:val="left"/>
        <w:rPr>
          <w:rFonts w:ascii="Times New Roman;Times;serif" w:hAnsi="Times New Roman;Times;serif"/>
          <w:b/>
          <w:sz w:val="20"/>
        </w:rPr>
      </w:pPr>
      <w:r>
        <w:rPr>
          <w:rFonts w:ascii="Times New Roman;Times;serif" w:hAnsi="Times New Roman;Times;serif"/>
          <w:b/>
          <w:sz w:val="20"/>
        </w:rPr>
        <w:t>Proposal 4 – Approval of the CTO Realty Growth, Inc. Sixth Amended and Restated 2010 Equity Incentive Plan:</w:t>
      </w:r>
    </w:p>
    <w:tbl>
      <w:tblPr>
        <w:tblW w:w="3754" w:type="dxa"/>
        <w:jc w:val="left"/>
        <w:tblInd w:w="0" w:type="dxa"/>
        <w:tblLayout w:type="fixed"/>
        <w:tblCellMar>
          <w:top w:w="0" w:type="dxa"/>
          <w:left w:w="0" w:type="dxa"/>
          <w:bottom w:w="0" w:type="dxa"/>
          <w:right w:w="0" w:type="dxa"/>
        </w:tblCellMar>
      </w:tblPr>
      <w:tblGrid>
        <w:gridCol w:w="931"/>
        <w:gridCol w:w="856"/>
        <w:gridCol w:w="826"/>
        <w:gridCol w:w="1141"/>
      </w:tblGrid>
      <w:tr>
        <w:trPr/>
        <w:tc>
          <w:tcPr>
            <w:tcW w:w="931"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856"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826"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1141" w:type="dxa"/>
            <w:tcBorders/>
            <w:vAlign w:val="center"/>
          </w:tcPr>
          <w:p>
            <w:pPr>
              <w:pStyle w:val="TableContents"/>
              <w:pBdr>
                <w:bottom w:val="single" w:sz="2" w:space="1" w:color="000000"/>
              </w:pBdr>
              <w:bidi w:val="0"/>
              <w:spacing w:lineRule="auto" w:line="285" w:before="0" w:after="20"/>
              <w:ind w:left="0" w:right="0" w:hanging="0"/>
              <w:jc w:val="center"/>
              <w:rPr>
                <w:rFonts w:ascii="Times New Roman;Times;serif" w:hAnsi="Times New Roman;Times;serif"/>
                <w:b/>
                <w:sz w:val="16"/>
              </w:rPr>
            </w:pPr>
            <w:r>
              <w:rPr>
                <w:rFonts w:ascii="Times New Roman;Times;serif" w:hAnsi="Times New Roman;Times;serif"/>
                <w:b/>
                <w:sz w:val="16"/>
              </w:rPr>
              <w:t>BROKER</w:t>
              <w:br/>
              <w:t>NON-VOTES</w:t>
            </w:r>
          </w:p>
        </w:tc>
      </w:tr>
      <w:tr>
        <w:trPr/>
        <w:tc>
          <w:tcPr>
            <w:tcW w:w="93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18,200,389</w:t>
            </w:r>
          </w:p>
        </w:tc>
        <w:tc>
          <w:tcPr>
            <w:tcW w:w="85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848,986</w:t>
            </w:r>
          </w:p>
        </w:tc>
        <w:tc>
          <w:tcPr>
            <w:tcW w:w="826"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111,850</w:t>
            </w:r>
          </w:p>
        </w:tc>
        <w:tc>
          <w:tcPr>
            <w:tcW w:w="1141" w:type="dxa"/>
            <w:tcBorders/>
            <w:vAlign w:val="center"/>
          </w:tcPr>
          <w:p>
            <w:pPr>
              <w:pStyle w:val="TableContents"/>
              <w:bidi w:val="0"/>
              <w:spacing w:lineRule="auto" w:line="285" w:before="0" w:after="20"/>
              <w:ind w:left="0" w:right="0" w:hanging="0"/>
              <w:jc w:val="center"/>
              <w:rPr>
                <w:rFonts w:ascii="Times New Roman;Times;serif" w:hAnsi="Times New Roman;Times;serif"/>
                <w:sz w:val="18"/>
              </w:rPr>
            </w:pPr>
            <w:r>
              <w:rPr>
                <w:rFonts w:ascii="Times New Roman;Times;serif" w:hAnsi="Times New Roman;Times;serif"/>
                <w:sz w:val="18"/>
              </w:rPr>
              <w:t>6,648,270</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SIGNATURES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June 18, 2026</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CTO Realty Growth, Inc.</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By: /s/ John P. Albright </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John P. Albright, President and Chief Executive Officer</w:t>
      </w:r>
    </w:p>
    <w:p>
      <w:pPr>
        <w:pStyle w:val="TextBody"/>
        <w:bidi w:val="0"/>
        <w:spacing w:lineRule="auto" w:line="307" w:before="0" w:after="160"/>
        <w:ind w:left="0" w:right="0" w:hanging="0"/>
        <w:jc w:val="both"/>
        <w:rPr/>
      </w:pPr>
      <w:r>
        <w:rPr/>
        <w:t>​</w:t>
      </w:r>
    </w:p>
    <w:p>
      <w:pPr>
        <w:pStyle w:val="TextBody"/>
        <w:bidi w:val="0"/>
        <w:spacing w:lineRule="auto" w:line="285" w:before="0" w:after="0"/>
        <w:ind w:left="0" w:right="0" w:hanging="0"/>
        <w:jc w:val="left"/>
        <w:rPr/>
      </w:pPr>
      <w:r>
        <w:rPr/>
        <w:t xml:space="preserve">  </w:t>
      </w:r>
    </w:p>
    <w:p>
      <w:pPr>
        <w:pStyle w:val="TextBody"/>
        <w:bidi w:val="0"/>
        <w:spacing w:lineRule="auto" w:line="307" w:before="0" w:after="160"/>
        <w:ind w:left="0" w:right="0" w:firstLine="720"/>
        <w:jc w:val="left"/>
        <w:rPr/>
      </w:pPr>
      <w:r>
        <w:rPr/>
        <w:t>​</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3763</Characters>
  <CharactersWithSpaces>4415</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