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112395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9" w:lineRule="exact"/>
        <w:rPr>
          <w:sz w:val="24"/>
          <w:szCs w:val="24"/>
          <w:color w:val="auto"/>
        </w:rPr>
      </w:pPr>
    </w:p>
    <w:p>
      <w:pPr>
        <w:ind w:left="430" w:right="180" w:hanging="430"/>
        <w:spacing w:after="0" w:line="273" w:lineRule="auto"/>
        <w:tabs>
          <w:tab w:leader="none" w:pos="4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2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2" w:lineRule="exact"/>
        <w:rPr>
          <w:sz w:val="24"/>
          <w:szCs w:val="24"/>
          <w:color w:val="auto"/>
        </w:rPr>
      </w:pPr>
    </w:p>
    <w:p>
      <w:pPr>
        <w:ind w:left="430" w:right="180" w:hanging="430"/>
        <w:spacing w:after="0" w:line="287" w:lineRule="auto"/>
        <w:tabs>
          <w:tab w:leader="none" w:pos="4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3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40"/>
          <w:szCs w:val="40"/>
          <w:b w:val="1"/>
          <w:bCs w:val="1"/>
          <w:color w:val="auto"/>
        </w:rPr>
        <w:t>CTO REALTY GROWTH, INC.</w:t>
      </w:r>
    </w:p>
    <w:p>
      <w:pPr>
        <w:spacing w:after="0" w:line="5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1" w:lineRule="exact"/>
        <w:rPr>
          <w:sz w:val="24"/>
          <w:szCs w:val="24"/>
          <w:color w:val="auto"/>
        </w:rPr>
      </w:pPr>
    </w:p>
    <w:tbl>
      <w:tblPr>
        <w:tblLayout w:type="fixed"/>
        <w:tblInd w:w="1210" w:type="dxa"/>
        <w:tblCellMar>
          <w:top w:w="0" w:type="dxa"/>
          <w:left w:w="0" w:type="dxa"/>
          <w:bottom w:w="0" w:type="dxa"/>
          <w:right w:w="0" w:type="dxa"/>
        </w:tblCellMar>
      </w:tblPr>
      <w:tr>
        <w:trPr>
          <w:trHeight w:val="189"/>
        </w:trPr>
        <w:tc>
          <w:tcPr>
            <w:tcW w:w="30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2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59-0483700</w:t>
            </w:r>
          </w:p>
        </w:tc>
      </w:tr>
      <w:tr>
        <w:trPr>
          <w:trHeight w:val="189"/>
        </w:trPr>
        <w:tc>
          <w:tcPr>
            <w:tcW w:w="30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8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0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74"/>
        </w:trPr>
        <w:tc>
          <w:tcPr>
            <w:tcW w:w="3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369 N. New York Avenue, Suite 201</w:t>
            </w:r>
          </w:p>
        </w:tc>
        <w:tc>
          <w:tcPr>
            <w:tcW w:w="28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89"/>
        </w:trPr>
        <w:tc>
          <w:tcPr>
            <w:tcW w:w="30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28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3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33"/>
        </w:trPr>
        <w:tc>
          <w:tcPr>
            <w:tcW w:w="3040" w:type="dxa"/>
            <w:vAlign w:val="bottom"/>
          </w:tcPr>
          <w:p>
            <w:pPr>
              <w:spacing w:after="0"/>
              <w:rPr>
                <w:sz w:val="20"/>
                <w:szCs w:val="20"/>
                <w:color w:val="auto"/>
              </w:rPr>
            </w:pPr>
          </w:p>
        </w:tc>
        <w:tc>
          <w:tcPr>
            <w:tcW w:w="2800" w:type="dxa"/>
            <w:vAlign w:val="bottom"/>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60" w:type="dxa"/>
            <w:vAlign w:val="bottom"/>
          </w:tcPr>
          <w:p>
            <w:pPr>
              <w:spacing w:after="0"/>
              <w:rPr>
                <w:sz w:val="20"/>
                <w:szCs w:val="20"/>
                <w:color w:val="auto"/>
              </w:rPr>
            </w:pPr>
          </w:p>
        </w:tc>
      </w:tr>
      <w:tr>
        <w:trPr>
          <w:trHeight w:val="212"/>
        </w:trPr>
        <w:tc>
          <w:tcPr>
            <w:tcW w:w="5840" w:type="dxa"/>
            <w:vAlign w:val="bottom"/>
            <w:gridSpan w:val="2"/>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60" w:type="dxa"/>
            <w:vAlign w:val="bottom"/>
          </w:tcPr>
          <w:p>
            <w:pPr>
              <w:spacing w:after="0"/>
              <w:rPr>
                <w:sz w:val="18"/>
                <w:szCs w:val="18"/>
                <w:color w:val="auto"/>
              </w:rPr>
            </w:pPr>
          </w:p>
        </w:tc>
      </w:tr>
    </w:tbl>
    <w:p>
      <w:pPr>
        <w:spacing w:after="0" w:line="17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8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205"/>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580" w:type="dxa"/>
            <w:vAlign w:val="bottom"/>
          </w:tcPr>
          <w:p>
            <w:pPr>
              <w:jc w:val="center"/>
              <w:ind w:right="405"/>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158"/>
        </w:trPr>
        <w:tc>
          <w:tcPr>
            <w:tcW w:w="33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2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tcPr>
          <w:p>
            <w:pPr>
              <w:jc w:val="center"/>
              <w:ind w:right="425"/>
              <w:spacing w:after="0" w:line="158" w:lineRule="exact"/>
              <w:rPr>
                <w:sz w:val="20"/>
                <w:szCs w:val="20"/>
                <w:color w:val="auto"/>
              </w:rPr>
            </w:pPr>
            <w:r>
              <w:rPr>
                <w:rFonts w:ascii="Times New Roman" w:cs="Times New Roman" w:eastAsia="Times New Roman" w:hAnsi="Times New Roman"/>
                <w:sz w:val="14"/>
                <w:szCs w:val="14"/>
                <w:b w:val="1"/>
                <w:bCs w:val="1"/>
                <w:color w:val="auto"/>
              </w:rPr>
              <w:t>CTO</w:t>
            </w:r>
          </w:p>
        </w:tc>
        <w:tc>
          <w:tcPr>
            <w:tcW w:w="200" w:type="dxa"/>
            <w:vAlign w:val="bottom"/>
          </w:tcPr>
          <w:p>
            <w:pPr>
              <w:spacing w:after="0"/>
              <w:rPr>
                <w:sz w:val="13"/>
                <w:szCs w:val="13"/>
                <w:color w:val="auto"/>
              </w:rPr>
            </w:pPr>
          </w:p>
        </w:tc>
        <w:tc>
          <w:tcPr>
            <w:tcW w:w="3380" w:type="dxa"/>
            <w:vAlign w:val="bottom"/>
            <w:tcBorders>
              <w:top w:val="single" w:sz="8" w:color="auto"/>
            </w:tcBorders>
          </w:tcPr>
          <w:p>
            <w:pPr>
              <w:ind w:left="1480"/>
              <w:spacing w:after="0" w:line="158" w:lineRule="exact"/>
              <w:rPr>
                <w:sz w:val="20"/>
                <w:szCs w:val="20"/>
                <w:color w:val="auto"/>
              </w:rPr>
            </w:pPr>
            <w:r>
              <w:rPr>
                <w:rFonts w:ascii="Times New Roman" w:cs="Times New Roman" w:eastAsia="Times New Roman" w:hAnsi="Times New Roman"/>
                <w:sz w:val="14"/>
                <w:szCs w:val="14"/>
                <w:b w:val="1"/>
                <w:bCs w:val="1"/>
                <w:color w:val="auto"/>
              </w:rPr>
              <w:t>NYSE</w:t>
            </w:r>
          </w:p>
        </w:tc>
      </w:tr>
      <w:tr>
        <w:trPr>
          <w:trHeight w:val="175"/>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6.375% Series A Cumulative Redeemable Preferred</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90"/>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$0.01 par value per share</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tcPr>
          <w:p>
            <w:pPr>
              <w:jc w:val="center"/>
              <w:ind w:right="425"/>
              <w:spacing w:after="0"/>
              <w:rPr>
                <w:sz w:val="20"/>
                <w:szCs w:val="20"/>
                <w:color w:val="auto"/>
              </w:rPr>
            </w:pPr>
            <w:r>
              <w:rPr>
                <w:rFonts w:ascii="Times New Roman" w:cs="Times New Roman" w:eastAsia="Times New Roman" w:hAnsi="Times New Roman"/>
                <w:sz w:val="14"/>
                <w:szCs w:val="14"/>
                <w:b w:val="1"/>
                <w:bCs w:val="1"/>
                <w:color w:val="auto"/>
                <w:w w:val="98"/>
              </w:rPr>
              <w:t>CTO/PA</w:t>
            </w:r>
          </w:p>
        </w:tc>
        <w:tc>
          <w:tcPr>
            <w:tcW w:w="200" w:type="dxa"/>
            <w:vAlign w:val="bottom"/>
          </w:tcPr>
          <w:p>
            <w:pPr>
              <w:spacing w:after="0"/>
              <w:rPr>
                <w:sz w:val="16"/>
                <w:szCs w:val="16"/>
                <w:color w:val="auto"/>
              </w:rPr>
            </w:pPr>
          </w:p>
        </w:tc>
        <w:tc>
          <w:tcPr>
            <w:tcW w:w="338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172" w:lineRule="exact"/>
        <w:rPr>
          <w:sz w:val="24"/>
          <w:szCs w:val="24"/>
          <w:color w:val="auto"/>
        </w:rPr>
      </w:pPr>
    </w:p>
    <w:p>
      <w:pPr>
        <w:ind w:left="10" w:right="160" w:firstLine="441"/>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180" w:firstLine="441"/>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60" w:firstLine="441"/>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 w:lineRule="exact"/>
        <w:rPr>
          <w:sz w:val="24"/>
          <w:szCs w:val="24"/>
          <w:color w:val="auto"/>
        </w:rPr>
      </w:pPr>
    </w:p>
    <w:p>
      <w:pPr>
        <w:ind w:left="10" w:right="140" w:firstLine="441"/>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20, 2026, there were 38,760,232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587375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210185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193040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5"/>
          </w:tcPr>
          <w:p>
            <w:pPr>
              <w:spacing w:after="0" w:line="15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580" w:type="dxa"/>
            <w:vAlign w:val="bottom"/>
            <w:tcBorders>
              <w:top w:val="single" w:sz="8" w:color="0000EE"/>
              <w:bottom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Balance Sheets – September 30, 2026 (Unaudited) and December 31, 2025</w:t>
            </w:r>
          </w:p>
        </w:tc>
        <w:tc>
          <w:tcPr>
            <w:tcW w:w="17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Operations – Three and nine months ended September 30, 2026 and 2025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3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8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and nine months ended September 30, 2026 and</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6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and nine months ended September 30, 2026 and</w:t>
            </w:r>
          </w:p>
        </w:tc>
        <w:tc>
          <w:tcPr>
            <w:tcW w:w="4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Cash Flows – Nine months ended September 30, 2026 and 2025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5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58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22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3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9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8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22"/>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1020" w:type="dxa"/>
            <w:vAlign w:val="bottom"/>
            <w:tcBorders>
              <w:top w:val="single" w:sz="8" w:color="0000EE"/>
              <w:bottom w:val="single" w:sz="8" w:color="0000EE"/>
            </w:tcBorders>
            <w:gridSpan w:val="4"/>
          </w:tcPr>
          <w:p>
            <w:pPr>
              <w:ind w:left="80"/>
              <w:spacing w:after="0"/>
              <w:rPr>
                <w:sz w:val="20"/>
                <w:szCs w:val="20"/>
                <w:color w:val="auto"/>
              </w:rPr>
            </w:pPr>
            <w:r>
              <w:rPr>
                <w:rFonts w:ascii="Times New Roman" w:cs="Times New Roman" w:eastAsia="Times New Roman" w:hAnsi="Times New Roman"/>
                <w:sz w:val="18"/>
                <w:szCs w:val="18"/>
                <w:color w:val="0000EE"/>
                <w:w w:val="99"/>
              </w:rPr>
              <w:t>Risk Factors</w:t>
            </w:r>
          </w:p>
        </w:tc>
        <w:tc>
          <w:tcPr>
            <w:tcW w:w="380" w:type="dxa"/>
            <w:vAlign w:val="bottom"/>
            <w:tcBorders>
              <w:top w:val="single" w:sz="8" w:color="0000EE"/>
            </w:tcBorders>
            <w:gridSpan w:val="2"/>
          </w:tcPr>
          <w:p>
            <w:pPr>
              <w:spacing w:after="0"/>
              <w:rPr>
                <w:sz w:val="24"/>
                <w:szCs w:val="24"/>
                <w:color w:val="auto"/>
              </w:rPr>
            </w:pPr>
          </w:p>
        </w:tc>
        <w:tc>
          <w:tcPr>
            <w:tcW w:w="636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1840" w:type="dxa"/>
            <w:vAlign w:val="bottom"/>
            <w:tcBorders>
              <w:top w:val="single" w:sz="8" w:color="0000EE"/>
            </w:tcBorders>
            <w:gridSpan w:val="8"/>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59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80" w:type="dxa"/>
            <w:vAlign w:val="bottom"/>
            <w:tcBorders>
              <w:top w:val="single" w:sz="8" w:color="0000EE"/>
              <w:bottom w:val="single" w:sz="8" w:color="0000EE"/>
            </w:tcBorders>
            <w:gridSpan w:val="3"/>
          </w:tcPr>
          <w:p>
            <w:pPr>
              <w:ind w:left="8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CTO REALTY GROWTH,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98"/>
              </w:rPr>
              <w:t>CONSOLIDATED BALANCE SHEETS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99"/>
              </w:rPr>
              <w:t>(In thousands, except share and per share data)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4"/>
            <w:vMerge w:val="restart"/>
          </w:tcPr>
          <w:p>
            <w:pPr>
              <w:jc w:val="right"/>
              <w:ind w:right="10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gridSpan w:val="4"/>
          </w:tcPr>
          <w:p>
            <w:pPr>
              <w:ind w:left="6200"/>
              <w:spacing w:after="0"/>
              <w:rPr>
                <w:sz w:val="20"/>
                <w:szCs w:val="20"/>
                <w:color w:val="auto"/>
              </w:rPr>
            </w:pPr>
            <w:r>
              <w:rPr>
                <w:rFonts w:ascii="Times New Roman" w:cs="Times New Roman" w:eastAsia="Times New Roman" w:hAnsi="Times New Roman"/>
                <w:sz w:val="18"/>
                <w:szCs w:val="18"/>
                <w:b w:val="1"/>
                <w:bCs w:val="1"/>
                <w:color w:val="auto"/>
              </w:rPr>
              <w:t>​​ September 30,</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December 31,</w:t>
            </w:r>
          </w:p>
        </w:tc>
        <w:tc>
          <w:tcPr>
            <w:tcW w:w="0" w:type="dxa"/>
            <w:vAlign w:val="bottom"/>
          </w:tcPr>
          <w:p>
            <w:pPr>
              <w:spacing w:after="0"/>
              <w:rPr>
                <w:sz w:val="1"/>
                <w:szCs w:val="1"/>
                <w:color w:val="auto"/>
              </w:rPr>
            </w:pPr>
          </w:p>
        </w:tc>
      </w:tr>
      <w:tr>
        <w:trPr>
          <w:trHeight w:val="238"/>
        </w:trPr>
        <w:tc>
          <w:tcPr>
            <w:tcW w:w="6240" w:type="dxa"/>
            <w:vAlign w:val="bottom"/>
          </w:tcPr>
          <w:p>
            <w:pPr>
              <w:ind w:left="6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at Cost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318,401</w:t>
            </w:r>
          </w:p>
        </w:tc>
        <w:tc>
          <w:tcPr>
            <w:tcW w:w="4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289,012</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766,371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Furnishings and Equipment, at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Construction in Process, at Cost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1,060,397</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(107,268)</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953,129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Alpine Income Property Trust,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Assets—See Note 10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36,207</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1,495,336</w:t>
            </w:r>
          </w:p>
        </w:tc>
        <w:tc>
          <w:tcPr>
            <w:tcW w:w="20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1,263,902</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200"/>
              <w:spacing w:after="0" w:line="195"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4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Liabilities—See Note 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Revenue—See Note 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Long-Term Debt—Net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616,345</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696,556</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Contingencies—See Note 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authorized; $0.01 par value per share,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6.375% Series A Cumulative Redeemable Preferred Stock, $25.00 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Liquidation Preference, 4,713,069 shares issued and outstanding at 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 and December 31,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 500,000,000 shares authorized; $0.01 par value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38,756,926 shares issued and outstanding at September 30, 2026 and 32,372,291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at December 31, 2025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382,494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184,886</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567,346</w:t>
            </w:r>
          </w:p>
        </w:tc>
        <w:tc>
          <w:tcPr>
            <w:tcW w:w="0" w:type="dxa"/>
            <w:vAlign w:val="bottom"/>
          </w:tcPr>
          <w:p>
            <w:pPr>
              <w:spacing w:after="0"/>
              <w:rPr>
                <w:sz w:val="1"/>
                <w:szCs w:val="1"/>
                <w:color w:val="auto"/>
              </w:rPr>
            </w:pPr>
          </w:p>
        </w:tc>
      </w:tr>
      <w:tr>
        <w:trPr>
          <w:trHeight w:val="210"/>
        </w:trPr>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1,495,336</w:t>
            </w:r>
          </w:p>
        </w:tc>
        <w:tc>
          <w:tcPr>
            <w:tcW w:w="200" w:type="dxa"/>
            <w:vAlign w:val="bottom"/>
            <w:gridSpan w:val="2"/>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1,263,902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Fee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111,206</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Direct Cost of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Direct Cost of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 for Impairment and Adjustment to CECL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(86,909)</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Gain (Loss)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(19,076)</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Information—See Note 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Attributable to</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Stockholders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37,537,899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32,651,101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35,033,606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32,298,304</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37,621,472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32,682,775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35,081,726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32,313,895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16"/>
                <w:szCs w:val="16"/>
                <w:color w:val="auto"/>
              </w:rPr>
            </w:pPr>
          </w:p>
        </w:tc>
        <w:tc>
          <w:tcPr>
            <w:tcW w:w="4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(13,101)</w:t>
            </w:r>
          </w:p>
        </w:tc>
      </w:tr>
      <w:tr>
        <w:trPr>
          <w:trHeight w:val="209"/>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tcBorders>
              <w:bottom w:val="single" w:sz="8" w:color="CCEEFF"/>
            </w:tcBorders>
          </w:tcPr>
          <w:p>
            <w:pPr>
              <w:spacing w:after="0"/>
              <w:rPr>
                <w:sz w:val="18"/>
                <w:szCs w:val="18"/>
                <w:color w:val="auto"/>
              </w:rPr>
            </w:pPr>
          </w:p>
        </w:tc>
      </w:tr>
      <w:tr>
        <w:trPr>
          <w:trHeight w:val="21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three months ended September 30, 2026:</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July 1, 2026</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481,134</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175,556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663,183</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(5,172)</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(5,172)</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27,279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27,292</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(14,850)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(14,850)</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11,656</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2026</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509,513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153,656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681,331</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three months ended September 30, 2025:</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July 1, 2025</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390,003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182,362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574,062</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(4,305)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to Directors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(12,569)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(12,569)</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2025</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386,634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170,829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557,253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nine months ended September 30, 2026:</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2026</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382,494</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184,886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(405)</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567,346</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16,145</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to Directors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124,750</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(5,634)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(5,634)</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(41,741)</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(41,741)</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18,132</w:t>
            </w:r>
          </w:p>
        </w:tc>
        <w:tc>
          <w:tcPr>
            <w:tcW w:w="0" w:type="dxa"/>
            <w:vAlign w:val="bottom"/>
          </w:tcPr>
          <w:p>
            <w:pPr>
              <w:spacing w:after="0"/>
              <w:rPr>
                <w:sz w:val="1"/>
                <w:szCs w:val="1"/>
                <w:color w:val="auto"/>
              </w:rPr>
            </w:pPr>
          </w:p>
        </w:tc>
      </w:tr>
      <w:tr>
        <w:trPr>
          <w:trHeight w:val="142"/>
        </w:trPr>
        <w:tc>
          <w:tcPr>
            <w:tcW w:w="3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2026</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388</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509,513</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153,656</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17,727</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681,331</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nine months ended September 30, 2025:</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2025</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367,828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232,089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12,517</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612,798</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(18,243)</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(18,243)</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(4,342)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(4,345)</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Settlement of 2025 Notes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21,048</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(5,634)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(5,634)</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(37,383)</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(37,383)</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(13,101)</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(13,101)</w:t>
            </w:r>
          </w:p>
        </w:tc>
        <w:tc>
          <w:tcPr>
            <w:tcW w:w="0" w:type="dxa"/>
            <w:vAlign w:val="bottom"/>
          </w:tcPr>
          <w:p>
            <w:pPr>
              <w:spacing w:after="0"/>
              <w:rPr>
                <w:sz w:val="1"/>
                <w:szCs w:val="1"/>
                <w:color w:val="auto"/>
              </w:rPr>
            </w:pPr>
          </w:p>
        </w:tc>
      </w:tr>
      <w:tr>
        <w:trPr>
          <w:trHeight w:val="142"/>
        </w:trPr>
        <w:tc>
          <w:tcPr>
            <w:tcW w:w="3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2025</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327</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386,634</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170,829</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(584)</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557,253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the Company</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16,145</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(18,243)</w:t>
            </w:r>
          </w:p>
        </w:tc>
      </w:tr>
      <w:tr>
        <w:trPr>
          <w:trHeight w:val="126"/>
        </w:trPr>
        <w:tc>
          <w:tcPr>
            <w:tcW w:w="594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Attributable to the Company to Net Cash Provided by</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71"/>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49,196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44,587</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 and Liabilities to Income Property Revenue</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Discount on Convertible Debt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Real Estate and Intangible Lease Assets and Liabilities</w:t>
            </w:r>
          </w:p>
        </w:tc>
        <w:tc>
          <w:tcPr>
            <w:tcW w:w="2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 Held for Sale</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(689)</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20,449</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Impairment and Adjustment to CECL Reserve</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2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(1,336)</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Imputed Interest</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Loss (Gain) on Investment Securities</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(1,099)</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5,829</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3,222</w:t>
            </w:r>
          </w:p>
        </w:tc>
      </w:tr>
      <w:tr>
        <w:trPr>
          <w:trHeight w:val="148"/>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4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(8,777)</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(2,357)</w:t>
            </w:r>
          </w:p>
        </w:tc>
      </w:tr>
      <w:tr>
        <w:trPr>
          <w:trHeight w:val="148"/>
        </w:trPr>
        <w:tc>
          <w:tcPr>
            <w:tcW w:w="5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(8,641)</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w:t>
            </w:r>
          </w:p>
        </w:tc>
      </w:tr>
      <w:tr>
        <w:trPr>
          <w:trHeight w:val="149"/>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r>
      <w:tr>
        <w:trPr>
          <w:trHeight w:val="142"/>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59,168</w:t>
            </w:r>
          </w:p>
        </w:tc>
        <w:tc>
          <w:tcPr>
            <w:tcW w:w="1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58,290</w:t>
            </w: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Real Estate and Intangible Lease Assets and Liabilities</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(203,669)</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(80,022)</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 in and Improvements to Real Estate</w:t>
            </w:r>
          </w:p>
        </w:tc>
        <w:tc>
          <w:tcPr>
            <w:tcW w:w="2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(21,637)</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(7,198)</w:t>
            </w: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(147,457)</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(12,786)</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Plant, and Equipment, and Assets Held for Sale</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89,905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6,699</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6,038</w:t>
            </w: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Received for Commercial Loan Reserves</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Investment Securities</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(13,539)</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(8,775)</w:t>
            </w:r>
          </w:p>
        </w:tc>
      </w:tr>
      <w:tr>
        <w:trPr>
          <w:trHeight w:val="149"/>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 Securities</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4,846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739</w:t>
            </w:r>
          </w:p>
        </w:tc>
      </w:tr>
      <w:tr>
        <w:trPr>
          <w:trHeight w:val="142"/>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(253,122)</w:t>
            </w:r>
          </w:p>
        </w:tc>
        <w:tc>
          <w:tcPr>
            <w:tcW w:w="1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(95,857)</w:t>
            </w: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830,000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327,000</w:t>
            </w: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2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(725,800)</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(226,272)</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(7,570)</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w:t>
            </w: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Proceeds from Common Stock Issuance</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Used to Purchase Common Stock</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(4,345)</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Vesting of Restricted Stock</w:t>
            </w:r>
          </w:p>
        </w:tc>
        <w:tc>
          <w:tcPr>
            <w:tcW w:w="2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(Cash Paid for) Issuance of Common and Preferred Stock, Net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124,750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Premium Related to Settlement of 2025 Notes</w:t>
            </w:r>
          </w:p>
        </w:tc>
        <w:tc>
          <w:tcPr>
            <w:tcW w:w="24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(14,110)</w:t>
            </w: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Preferred Stock</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(5,634)</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(5,634)</w:t>
            </w: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Common Stock</w:t>
            </w:r>
          </w:p>
        </w:tc>
        <w:tc>
          <w:tcPr>
            <w:tcW w:w="2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(41,100)</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(36,820)</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173,916</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37,776</w:t>
            </w: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(20,038)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w:t>
            </w:r>
          </w:p>
        </w:tc>
      </w:tr>
      <w:tr>
        <w:trPr>
          <w:trHeight w:val="149"/>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41,119</w:t>
            </w:r>
          </w:p>
        </w:tc>
        <w:tc>
          <w:tcPr>
            <w:tcW w:w="1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17,361</w:t>
            </w:r>
          </w:p>
        </w:tc>
      </w:tr>
      <w:tr>
        <w:trPr>
          <w:trHeight w:val="182"/>
        </w:trPr>
        <w:tc>
          <w:tcPr>
            <w:tcW w:w="594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17,570</w:t>
            </w: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03"/>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8,815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9,281</w:t>
            </w:r>
          </w:p>
        </w:tc>
      </w:tr>
      <w:tr>
        <w:trPr>
          <w:trHeight w:val="148"/>
        </w:trPr>
        <w:tc>
          <w:tcPr>
            <w:tcW w:w="594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8,289</w:t>
            </w:r>
          </w:p>
        </w:tc>
      </w:tr>
      <w:tr>
        <w:trPr>
          <w:trHeight w:val="142"/>
        </w:trPr>
        <w:tc>
          <w:tcPr>
            <w:tcW w:w="594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21,081</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17,570</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9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Taxes, Net of Refunds Received</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Cash Paid for Interest </w:t>
            </w:r>
            <w:r>
              <w:rPr>
                <w:rFonts w:ascii="Times New Roman" w:cs="Times New Roman" w:eastAsia="Times New Roman" w:hAnsi="Times New Roman"/>
                <w:sz w:val="17"/>
                <w:szCs w:val="17"/>
                <w:color w:val="auto"/>
                <w:vertAlign w:val="superscript"/>
              </w:rPr>
              <w:t>(1)</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21,920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16,950</w:t>
            </w:r>
          </w:p>
        </w:tc>
      </w:tr>
      <w:tr>
        <w:trPr>
          <w:trHeight w:val="149"/>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Cash Flow Hedges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18,132</w:t>
            </w:r>
          </w:p>
        </w:tc>
        <w:tc>
          <w:tcPr>
            <w:tcW w:w="1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(13,101)</w:t>
            </w: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and Unpaid</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Principal Related to Settlement of 2025 Notes, Paid in Common Stock</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14,762</w:t>
            </w:r>
          </w:p>
        </w:tc>
      </w:tr>
      <w:tr>
        <w:trPr>
          <w:trHeight w:val="149"/>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Premium Related to Settlement of 2025 Notes, Paid in Common Stock</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6,286</w:t>
            </w:r>
          </w:p>
        </w:tc>
      </w:tr>
      <w:tr>
        <w:trPr>
          <w:trHeight w:val="115"/>
        </w:trPr>
        <w:tc>
          <w:tcPr>
            <w:tcW w:w="224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101" w:lineRule="exact"/>
        <w:rPr>
          <w:sz w:val="20"/>
          <w:szCs w:val="20"/>
          <w:color w:val="auto"/>
        </w:rPr>
      </w:pPr>
    </w:p>
    <w:p>
      <w:pPr>
        <w:ind w:left="300" w:hanging="250"/>
        <w:spacing w:after="0"/>
        <w:tabs>
          <w:tab w:leader="none" w:pos="30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capitalized interest of $0.4 and $0.1 million during the nine months ended September 30, 2026 and 2025, respectively.</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DESCRIPTION OF BUSINESS</w:t>
      </w:r>
    </w:p>
    <w:p>
      <w:pPr>
        <w:spacing w:after="0" w:line="20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terms “us,” “we,” “our,” and “the Company” as used in this report refer to CTO Realty Growth, Inc. together with our consolidated subsidiaries.</w:t>
      </w:r>
    </w:p>
    <w:p>
      <w:pPr>
        <w:spacing w:after="0" w:line="16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59" w:firstLine="441"/>
        <w:spacing w:after="0" w:line="289" w:lineRule="auto"/>
        <w:rPr>
          <w:sz w:val="20"/>
          <w:szCs w:val="20"/>
          <w:color w:val="auto"/>
        </w:rPr>
      </w:pPr>
      <w:r>
        <w:rPr>
          <w:rFonts w:ascii="Times New Roman" w:cs="Times New Roman" w:eastAsia="Times New Roman" w:hAnsi="Times New Roman"/>
          <w:sz w:val="17"/>
          <w:szCs w:val="17"/>
          <w:color w:val="auto"/>
        </w:rPr>
        <w:t>As of September 30, 2026, we own and manage, sometimes utilizing third-party property management companies, 22 commercial real estate properties in eight states in the United States, comprising 6.6 million square feet of gross leasable space. In addition to our income property portfolio, as of September 30, 2026, our business included the following:</w:t>
      </w:r>
    </w:p>
    <w:p>
      <w:pPr>
        <w:spacing w:after="0" w:line="15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u w:val="single" w:color="auto"/>
          <w:color w:val="auto"/>
        </w:rPr>
        <w:t>Management Services:</w:t>
      </w:r>
      <w:r>
        <w:rPr>
          <w:rFonts w:ascii="Times New Roman" w:cs="Times New Roman" w:eastAsia="Times New Roman" w:hAnsi="Times New Roman"/>
          <w:sz w:val="18"/>
          <w:szCs w:val="18"/>
          <w:color w:val="auto"/>
        </w:rPr>
        <w:t xml:space="preserve"> A fee-based management business that is engaged in managing Alpine Income Property Trust, Inc. (“PINE”), as well as a portfolio of assets pursuant to the Portfolio Management Agreement (hereinafter defined), and a portfolio of subsurface interests, as further described in Note 5, “Management Services Business”.</w:t>
      </w:r>
    </w:p>
    <w:p>
      <w:pPr>
        <w:spacing w:after="0" w:line="17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u w:val="single" w:color="auto"/>
          <w:color w:val="auto"/>
        </w:rPr>
        <w:t>Commercial Loans and Investments:</w:t>
      </w:r>
      <w:r>
        <w:rPr>
          <w:rFonts w:ascii="Times New Roman" w:cs="Times New Roman" w:eastAsia="Times New Roman" w:hAnsi="Times New Roman"/>
          <w:sz w:val="18"/>
          <w:szCs w:val="18"/>
          <w:color w:val="auto"/>
        </w:rPr>
        <w:t xml:space="preserve"> A portfolio of five commercial loan investments and three preferred equity investments which are classified as commercial loan investments.</w:t>
      </w:r>
    </w:p>
    <w:p>
      <w:pPr>
        <w:spacing w:after="0" w:line="16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Investment in PINE:</w:t>
      </w:r>
      <w:r>
        <w:rPr>
          <w:rFonts w:ascii="Times New Roman" w:cs="Times New Roman" w:eastAsia="Times New Roman" w:hAnsi="Times New Roman"/>
          <w:sz w:val="18"/>
          <w:szCs w:val="18"/>
          <w:color w:val="auto"/>
        </w:rPr>
        <w:t xml:space="preserve"> Our business also includes our investment in PINE. As of September 30, 2026, the fair value of our investment totaled $42.9 million, or 12.9% of PINE’s outstanding common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204" w:lineRule="exact"/>
        <w:rPr>
          <w:sz w:val="20"/>
          <w:szCs w:val="20"/>
          <w:color w:val="auto"/>
        </w:rPr>
      </w:pPr>
    </w:p>
    <w:p>
      <w:pPr>
        <w:ind w:left="60" w:right="3539"/>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2. SUMMARY OF SIGNIFICANT ACCOUNTING POLICIES </w:t>
      </w:r>
      <w:r>
        <w:rPr>
          <w:rFonts w:ascii="Times New Roman" w:cs="Times New Roman" w:eastAsia="Times New Roman" w:hAnsi="Times New Roman"/>
          <w:sz w:val="18"/>
          <w:szCs w:val="18"/>
          <w:b w:val="1"/>
          <w:bCs w:val="1"/>
          <w:i w:val="1"/>
          <w:iCs w:val="1"/>
          <w:color w:val="auto"/>
        </w:rPr>
        <w:t>Interim Financial Information</w:t>
      </w: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2025,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65"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2026 are not necessarily indicative of results to be expected for the year ending December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0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September 30, 2026, the Company has an equity investment in PINE.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7"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color w:val="auto"/>
        </w:rPr>
        <w:t>ASC Topic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establishes standards related to the manner in which enterprises report operating segment information. The Company operates in three primary business segments including income properties, management services, and commercial loans and investments as further discussed within Note 21,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Company’s real estate assets are carried at cost, less accumulated depreciation and amortization and impairment losses, if any. Such assets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Company’s consolidated statement of operations. The amount of depreciation of real estate, exclusive of amortization related to intangible assets, recognized for the three months ended September 30, 2026 and September 30, 2025, was $10.2 million and $9.0 million, respectively. The amount of depreciation of real estate, exclusive of amortization related to intangible assets, recognized for the nine months ended September 30, 2026 and September 30, 2025, was $29.7 million and $26.3 million,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00" w:lineRule="exact"/>
        <w:rPr>
          <w:sz w:val="20"/>
          <w:szCs w:val="20"/>
          <w:color w:val="auto"/>
        </w:rPr>
      </w:pPr>
    </w:p>
    <w:p>
      <w:pPr>
        <w:jc w:val="both"/>
        <w:ind w:left="60" w:right="59" w:firstLine="427"/>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FASB ASC 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8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September 30, 2026 and December 31, 2025 include certain amounts over the Federal Deposit Insurance Corporation limits.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Restricted cash totaled $12.3 million at September 30, 2026, held in six reserve accounts related to the Company’s commercial loans and investments for interest, real estate tax and/or construction costs.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Activity</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Depending upon the hedge’s value at each balance sheet date, the derivatives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5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3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15, “Interest Rate Swaps”).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accounts payable, and accrued and other liabilities at September 30, 2026 and December 31, 2025, approximate fair value because of the short maturity of these instruments. The carrying value of the Revolving Facility (hereinafter defined) as of September 30, 2026 and December 31, 2025, approximates current market rates for revolving credit arrangements with similar risks and maturities. The face value of the Company’s fixed rate commercial loans and investments, the 2027 Term Loan (hereinafter defined), the 2028 Term Loan (hereinafter defined), the 2029 Term Loan (hereinafter defined), the 2030 Term Loan (hereinafter defined), the 2031 Term Loan (hereinafter defined), the 2032 Term Loan (hereinafter defined), and mortgage note held as of September 30, 2026 and December 31, 2025 are measured at fair value based on current market rates for financial instruments with similar risks and maturities (see Note 7, “Fair Value of Financial Instruments”).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are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83" w:lineRule="exact"/>
        <w:rPr>
          <w:sz w:val="20"/>
          <w:szCs w:val="20"/>
          <w:color w:val="auto"/>
        </w:rPr>
      </w:pPr>
    </w:p>
    <w:p>
      <w:pPr>
        <w:ind w:left="840" w:hanging="33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1"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256" w:lineRule="exact"/>
        <w:rPr>
          <w:sz w:val="20"/>
          <w:szCs w:val="20"/>
          <w:color w:val="auto"/>
        </w:rPr>
      </w:pPr>
    </w:p>
    <w:p>
      <w:pPr>
        <w:jc w:val="both"/>
        <w:ind w:left="60" w:right="59" w:firstLine="441"/>
        <w:spacing w:after="0" w:line="245"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w:t>
      </w:r>
    </w:p>
    <w:p>
      <w:pPr>
        <w:spacing w:after="0" w:line="221"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from time to time, sell shares of common stock under its Common Stock ATM Program through forward sale agreements. Forward sale agreements that meet the criteria for equity classification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ASC Topic 815-40, </w:t>
      </w:r>
      <w:r>
        <w:rPr>
          <w:rFonts w:ascii="Times New Roman" w:cs="Times New Roman" w:eastAsia="Times New Roman" w:hAnsi="Times New Roman"/>
          <w:sz w:val="18"/>
          <w:szCs w:val="18"/>
          <w:i w:val="1"/>
          <w:iCs w:val="1"/>
          <w:color w:val="auto"/>
        </w:rPr>
        <w:t>Derivatives and Hedging – Contracts in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are classified as equity, and no amounts are recognized in the consolidated financial statements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Prior to settlement, the potential dilutive effect of any outstanding forward sale agreements is reflected in diluted earnings per common share using the treasury stock method in accordance with FASB ASC Topic 260, </w:t>
      </w: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Share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Interest Income from Commercial Loans and Investments</w:t>
      </w:r>
    </w:p>
    <w:p>
      <w:pPr>
        <w:spacing w:after="0" w:line="18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5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$5.2 million and $3.9 million as of September 30, 2026 and December 31, 2025, respectively.</w:t>
      </w:r>
    </w:p>
    <w:p>
      <w:pPr>
        <w:spacing w:after="0" w:line="153"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collectability of the aforementioned receivables shall be considered and adjusted through an allowance for doubtful accounts which is included in income property revenue on the consolidated statements of operations. As of September 30, 2026 and December 31, 2025, the Company’s allowance for doubtful accounts totaled $3.4 million and $2.6 million, respectively. Bad debt expense charged to revenue totaled $0.5 million for the three months ended September 30, 2026, compared to a benefit of $0.1 million for the three months ended September 30, 2025. Bad debt expense charged to revenue totaled $1.6 million and $1.0 million for the nine months ended September 30, 2026 and 2025, respectively.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for Acquisitions of Real Estate Subject to a Lease</w:t>
      </w:r>
    </w:p>
    <w:p>
      <w:pPr>
        <w:spacing w:after="0" w:line="18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Investments in real estate are carried at cost less accumulated depreciation and amortization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(Topic 805): Clarifying the Definition of a Business</w:t>
      </w:r>
      <w:r>
        <w:rPr>
          <w:rFonts w:ascii="Times New Roman" w:cs="Times New Roman" w:eastAsia="Times New Roman" w:hAnsi="Times New Roman"/>
          <w:sz w:val="18"/>
          <w:szCs w:val="18"/>
          <w:color w:val="auto"/>
        </w:rPr>
        <w:t>, an acquisition does not qualify as a business when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6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87"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Investments in real estate which are determined to be “held for sale” pursuant to FASB ASC Topic 360-10,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Plant, and Equipment </w:t>
      </w:r>
      <w:r>
        <w:rPr>
          <w:rFonts w:ascii="Times New Roman" w:cs="Times New Roman" w:eastAsia="Times New Roman" w:hAnsi="Times New Roman"/>
          <w:sz w:val="18"/>
          <w:szCs w:val="18"/>
          <w:color w:val="auto"/>
        </w:rPr>
        <w:t>are reported separately on the consolidated balance sheets at the lesser of carrying value 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less costs to sell. Real estate investments classified as held for sale are not depreciated.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Real Estate</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29" w:lineRule="exact"/>
        <w:rPr>
          <w:sz w:val="20"/>
          <w:szCs w:val="20"/>
          <w:color w:val="auto"/>
        </w:rPr>
      </w:pPr>
    </w:p>
    <w:p>
      <w:pPr>
        <w:jc w:val="both"/>
        <w:ind w:left="60" w:right="59" w:firstLine="441"/>
        <w:spacing w:after="0" w:line="232" w:lineRule="auto"/>
        <w:rPr>
          <w:sz w:val="20"/>
          <w:szCs w:val="20"/>
          <w:color w:val="auto"/>
        </w:rPr>
      </w:pPr>
      <w:r>
        <w:rPr>
          <w:rFonts w:ascii="Times New Roman" w:cs="Times New Roman" w:eastAsia="Times New Roman" w:hAnsi="Times New Roman"/>
          <w:sz w:val="18"/>
          <w:szCs w:val="18"/>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a TRS and subsidiaries of a TRS,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19,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8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w:t>
      </w:r>
    </w:p>
    <w:p>
      <w:pPr>
        <w:spacing w:after="0" w:line="121"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 also has certain concentrations that make up more than 10% of our income property portfolio, as described below:</w:t>
      </w:r>
    </w:p>
    <w:p>
      <w:pPr>
        <w:spacing w:after="0" w:line="133" w:lineRule="exact"/>
        <w:rPr>
          <w:sz w:val="20"/>
          <w:szCs w:val="20"/>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Square Footage Concentrations</w:t>
      </w:r>
      <w:r>
        <w:rPr>
          <w:rFonts w:ascii="Times New Roman" w:cs="Times New Roman" w:eastAsia="Times New Roman" w:hAnsi="Times New Roman"/>
          <w:sz w:val="18"/>
          <w:szCs w:val="18"/>
          <w:color w:val="auto"/>
        </w:rPr>
        <w:t>. As of September 30, 2026, a total of 23%, 19%, 18%, 15% and 12%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income property portfolio, based on square footage, were located in the states of Georgia, Florida, Texas, North Carolina, and Missouri respectively. As of December 31, 2025, a total of 30%, 25%, 18%, and 12% of the Company’s income property portfolio, based on square footage, were located in the states of Georgia, Florida, North Carolina, and Texas, respectively.</w:t>
      </w:r>
    </w:p>
    <w:p>
      <w:pPr>
        <w:spacing w:after="0" w:line="142"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Tenant Concentrations</w:t>
      </w:r>
      <w:r>
        <w:rPr>
          <w:rFonts w:ascii="Times New Roman" w:cs="Times New Roman" w:eastAsia="Times New Roman" w:hAnsi="Times New Roman"/>
          <w:sz w:val="18"/>
          <w:szCs w:val="18"/>
          <w:color w:val="auto"/>
        </w:rPr>
        <w:t>. We did not have any tenants that accounted for more than 10% of total revenues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or nine months ended September 30, 2026 or 2025.</w:t>
      </w:r>
    </w:p>
    <w:p>
      <w:pPr>
        <w:spacing w:after="0" w:line="11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Rent Concentrations</w:t>
      </w:r>
      <w:r>
        <w:rPr>
          <w:rFonts w:ascii="Times New Roman" w:cs="Times New Roman" w:eastAsia="Times New Roman" w:hAnsi="Times New Roman"/>
          <w:sz w:val="18"/>
          <w:szCs w:val="18"/>
          <w:color w:val="auto"/>
        </w:rPr>
        <w:t>. A total of 28%, 20%, 17%, and 13% of our base rent revenue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was generated from tenants located in Georgia, Florida, Texas, and North Carolina, respectively. A total of 36%, 17%, 15%, and 14% of our base rent revenue during the nine months ended September 30, 2025 was generated from tenants located in Georgia, Florida, Texas and North Carolina, respectively.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w:t>
      </w:r>
      <w:r>
        <w:rPr>
          <w:rFonts w:ascii="Times New Roman" w:cs="Times New Roman" w:eastAsia="Times New Roman" w:hAnsi="Times New Roman"/>
          <w:sz w:val="18"/>
          <w:szCs w:val="18"/>
          <w:color w:val="auto"/>
        </w:rPr>
        <w:t>which requires additional disclosures regarding a public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addresses requests from investors for more detailed information about the types of expenses (e.g., purchases of inventory, employee compensation, depreciation, amortization, and depletion) in commonly presented expense captions (e.g., cost of sales; selling, general, and administrative (SG&amp;A); and research and development (R&amp;D)). ASU 2024-03 is effective for annual periods beginning after December 15, 2026 and interim reporting periods beginning after December 15, 2027. The Company is currently evaluating the impact of this guidance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INCOME PROPERTIES</w:t>
      </w:r>
    </w:p>
    <w:p>
      <w:pPr>
        <w:spacing w:after="0" w:line="20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10"/>
        </w:trPr>
        <w:tc>
          <w:tcPr>
            <w:tcW w:w="28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75,458</w:t>
            </w:r>
          </w:p>
        </w:tc>
      </w:tr>
      <w:tr>
        <w:trPr>
          <w:trHeight w:val="216"/>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Leasing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98,486</w:t>
            </w:r>
          </w:p>
        </w:tc>
      </w:tr>
      <w:tr>
        <w:trPr>
          <w:trHeight w:val="20"/>
        </w:trPr>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Minimum future base rental receipts under non-cancelable operating leases, excluding percentage rent and other lease payments that are not fixed and determinable, having remaining terms in excess of one year subsequent to September 30, 2026, are summarized as follows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64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0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114,268</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100,415</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83,616</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73,716</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59,766</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 (Cumulative)</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144,449</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606,273</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2026 Acquisitions. </w:t>
      </w:r>
      <w:r>
        <w:rPr>
          <w:rFonts w:ascii="Times New Roman" w:cs="Times New Roman" w:eastAsia="Times New Roman" w:hAnsi="Times New Roman"/>
          <w:sz w:val="18"/>
          <w:szCs w:val="18"/>
          <w:color w:val="auto"/>
        </w:rPr>
        <w:t>During the nine months ended September 30, 2026, the Company acquired three shopping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an outparcel at one of its existing shopping centers, and one land parcel for an aggregate purchase price of $203.1 million, or a total acquisition cost of $203.7 million, as described below:</w:t>
      </w:r>
    </w:p>
    <w:p>
      <w:pPr>
        <w:spacing w:after="0" w:line="175" w:lineRule="exact"/>
        <w:rPr>
          <w:sz w:val="20"/>
          <w:szCs w:val="20"/>
          <w:color w:val="auto"/>
        </w:rPr>
      </w:pPr>
    </w:p>
    <w:p>
      <w:pPr>
        <w:jc w:val="both"/>
        <w:ind w:left="1160" w:right="79" w:hanging="327"/>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Palms Crossing, an open-air shopping center located in McAllen, Texas, for a purchase price of $81.6 million, or a total acquisition cost of $81.8 million, including capitalized acquisition costs. Palms Crossing comprises approximately 399,000 square feet, was 98% occupied at acquisition, and had a weighted average remaining lease term of 4.5 years at acquisition.</w:t>
      </w:r>
    </w:p>
    <w:p>
      <w:pPr>
        <w:spacing w:after="0" w:line="179" w:lineRule="exact"/>
        <w:rPr>
          <w:rFonts w:ascii="Times New Roman" w:cs="Times New Roman" w:eastAsia="Times New Roman" w:hAnsi="Times New Roman"/>
          <w:sz w:val="18"/>
          <w:szCs w:val="18"/>
          <w:color w:val="auto"/>
        </w:rPr>
      </w:pPr>
    </w:p>
    <w:p>
      <w:pPr>
        <w:jc w:val="both"/>
        <w:ind w:left="1160" w:right="79" w:hanging="327"/>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Gallery on the Parkway, an open-air shopping center located in Dallas, Texas, for a purchase price of $53.2 million, or a total acquisition cost of $53.3 million, including capitalized acquisition costs. Gallery on the Parkway comprises approximately 152,000 square feet, was 100% occupied at acquisition, and had a weighted average remaining lease term of 8.4 years at acquisition.</w:t>
      </w:r>
    </w:p>
    <w:p>
      <w:pPr>
        <w:spacing w:after="0" w:line="179" w:lineRule="exact"/>
        <w:rPr>
          <w:rFonts w:ascii="Times New Roman" w:cs="Times New Roman" w:eastAsia="Times New Roman" w:hAnsi="Times New Roman"/>
          <w:sz w:val="18"/>
          <w:szCs w:val="18"/>
          <w:color w:val="auto"/>
        </w:rPr>
      </w:pPr>
    </w:p>
    <w:p>
      <w:pPr>
        <w:ind w:left="1160" w:right="79" w:hanging="327"/>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 parcel located adjacent to our two restaurant operating properties in Daytona Beach, Florida, for a purchase price of $3.0 million. The property was acquired for future development purposes.</w:t>
      </w:r>
    </w:p>
    <w:p>
      <w:pPr>
        <w:spacing w:after="0" w:line="161" w:lineRule="exact"/>
        <w:rPr>
          <w:rFonts w:ascii="Times New Roman" w:cs="Times New Roman" w:eastAsia="Times New Roman" w:hAnsi="Times New Roman"/>
          <w:sz w:val="18"/>
          <w:szCs w:val="18"/>
          <w:color w:val="auto"/>
        </w:rPr>
      </w:pPr>
    </w:p>
    <w:p>
      <w:pPr>
        <w:jc w:val="both"/>
        <w:ind w:left="1160" w:right="79" w:hanging="327"/>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Zona Rosa, a mixed-use center located in Kansas City, Missouri, for a purchase price of $63.3 million, or a total acquisition cost of $63.5 million, including capitalized acquisition costs. Zona Rosa comprises approximately 768,000 square feet, was 67% leased at acquisition, and had a weighted average remaining lease term of 4.9 years at acquisition.</w:t>
      </w:r>
    </w:p>
    <w:p>
      <w:pPr>
        <w:spacing w:after="0" w:line="179" w:lineRule="exact"/>
        <w:rPr>
          <w:rFonts w:ascii="Times New Roman" w:cs="Times New Roman" w:eastAsia="Times New Roman" w:hAnsi="Times New Roman"/>
          <w:sz w:val="18"/>
          <w:szCs w:val="18"/>
          <w:color w:val="auto"/>
        </w:rPr>
      </w:pPr>
    </w:p>
    <w:p>
      <w:pPr>
        <w:ind w:left="1160" w:right="79" w:hanging="327"/>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vacant outparcel at the Carolina Pavilion property located in Charlotte, North Carolina, for a purchase price of $2.0 million, or $2.1 million including capitalized acquisition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212529"/>
        </w:rPr>
        <w:t>Of the aggregate $203.7 million acquisition cost, $53.1 million was allocated to land, $120.4 million to buildings and improvements, $43.0 million to intangible assets including in-place lease value, leasing costs, and above-market lease value, $9.6 million to below-market lease liabilities, and $3.2 million related to other liabilities. The weighted average amortization period for the intangible assets and liabilities was 5.2 years at acquisition.</w:t>
      </w:r>
    </w:p>
    <w:p>
      <w:pPr>
        <w:spacing w:after="0" w:line="178"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212529"/>
        </w:rPr>
        <w:t xml:space="preserve">2026 Dispositions. </w:t>
      </w:r>
      <w:r>
        <w:rPr>
          <w:rFonts w:ascii="Times New Roman" w:cs="Times New Roman" w:eastAsia="Times New Roman" w:hAnsi="Times New Roman"/>
          <w:sz w:val="18"/>
          <w:szCs w:val="18"/>
          <w:color w:val="212529"/>
        </w:rPr>
        <w:t>During the nine months ended September 30, 2026, the Company sold two shopping center</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properties for $90.7 million, generating gains of $2.1 million.</w:t>
      </w:r>
    </w:p>
    <w:p>
      <w:pPr>
        <w:spacing w:after="0" w:line="15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2025 Acquisitions. </w:t>
      </w:r>
      <w:r>
        <w:rPr>
          <w:rFonts w:ascii="Times New Roman" w:cs="Times New Roman" w:eastAsia="Times New Roman" w:hAnsi="Times New Roman"/>
          <w:sz w:val="18"/>
          <w:szCs w:val="18"/>
          <w:color w:val="auto"/>
        </w:rPr>
        <w:t>During the nine months ended September 30, 2025, the Company acquired Ashley Park,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center located in Newnan, Georgia, for a purchase price of $79.8 million, or a total acquisition cost of $80.0 million, including capitalized acquisition costs. Ashley Park comprises approximately 559,000 square feet, was 92% occupied at acquisition, and had a weighted average remaining lease term of 4.1 years at acquisition. Of the total acquisition costs, $26.0 million was allocated to land, $40.9 million to buildings and improvements, $16.8 million to intangible assets pertaining to the in-place lease value, leasing costs, and above market lease value and $3.7 million to intangible liabilities for the below market lease value.</w:t>
      </w:r>
    </w:p>
    <w:p>
      <w:pPr>
        <w:spacing w:after="0" w:line="18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2025 Dispositions. </w:t>
      </w:r>
      <w:r>
        <w:rPr>
          <w:rFonts w:ascii="Times New Roman" w:cs="Times New Roman" w:eastAsia="Times New Roman" w:hAnsi="Times New Roman"/>
          <w:sz w:val="18"/>
          <w:szCs w:val="18"/>
          <w:color w:val="auto"/>
        </w:rPr>
        <w:t>During the nine months ended September 30, 2025, the Company sold its three single-tenant 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properties in Daytona Beach, Florida for $7.1 million, generating gains totaling $1.2 million.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9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2026 Activity. </w:t>
      </w:r>
      <w:r>
        <w:rPr>
          <w:rFonts w:ascii="Times New Roman" w:cs="Times New Roman" w:eastAsia="Times New Roman" w:hAnsi="Times New Roman"/>
          <w:sz w:val="18"/>
          <w:szCs w:val="18"/>
          <w:color w:val="auto"/>
        </w:rPr>
        <w:t>During the nine months ended September 30, 2026, the Company entered into two preferred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and one commercial loan for aggregate investments of $133.4 million, of which $126.2 million was funded at closing. Origination fees totaling $1.6 million were received on the three new investments. In addition, the Company funded $22.9 million under existing construction loan commitments. The Company’s $30.0 million Watters Creek preferred equity investment was repaid in full, including all accrued interest.</w:t>
      </w:r>
    </w:p>
    <w:p>
      <w:pPr>
        <w:spacing w:after="0" w:line="18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nine months ended September 30, 2025, the Company originated a $5.0 million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bearing a fixed interest rate of 6.5% and earned an origination fee of 0.5%, or less than $0.1 million. In addition, the Company funded $7.8 million under existing construction loan commitments, net of origination fees received, and received principal repayments totaling $6.0 million.</w:t>
      </w:r>
    </w:p>
    <w:p>
      <w:pPr>
        <w:spacing w:after="0" w:line="180"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Activity. </w:t>
      </w:r>
      <w:r>
        <w:rPr>
          <w:rFonts w:ascii="Times New Roman" w:cs="Times New Roman" w:eastAsia="Times New Roman" w:hAnsi="Times New Roman"/>
          <w:sz w:val="18"/>
          <w:szCs w:val="18"/>
          <w:color w:val="auto"/>
        </w:rPr>
        <w:t>Certain commercial loans and investments outstanding as of September 30, 2026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determinations, at origination, related to variable interest entity matters as described herein:</w:t>
      </w:r>
    </w:p>
    <w:p>
      <w:pPr>
        <w:spacing w:after="0" w:line="158" w:lineRule="exact"/>
        <w:rPr>
          <w:sz w:val="20"/>
          <w:szCs w:val="20"/>
          <w:color w:val="auto"/>
        </w:rPr>
      </w:pPr>
    </w:p>
    <w:p>
      <w:pPr>
        <w:jc w:val="both"/>
        <w:ind w:left="720" w:right="79"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Series A Preferred Investment. </w:t>
      </w:r>
      <w:r>
        <w:rPr>
          <w:rFonts w:ascii="Times New Roman" w:cs="Times New Roman" w:eastAsia="Times New Roman" w:hAnsi="Times New Roman"/>
          <w:sz w:val="18"/>
          <w:szCs w:val="18"/>
          <w:color w:val="auto"/>
        </w:rPr>
        <w:t>On July 11, 2024, the Company funded $10.0 million into an escrow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escrow closed on August 1, 2024 in exchange for 10,000 shares of 14.000% Series A preferred stock, with a $0.01 par value per share, of a subsidiary of a publicly-traded hospitality, entertainment and real estate company (the “Series A Preferred Investment”). In connection with the investment, the Company received an origination fee of 1.0% or $0.1 million. The investment is not redeemable prior to July 11, 2029, except upon the occurrence of certain specified events. The Company determined, pursuant to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that we do not have a variable interest in the entity underlying the Series A Preferred Investment; accordingly, FASB ASC Topic 320, </w:t>
      </w:r>
      <w:r>
        <w:rPr>
          <w:rFonts w:ascii="Times New Roman" w:cs="Times New Roman" w:eastAsia="Times New Roman" w:hAnsi="Times New Roman"/>
          <w:sz w:val="18"/>
          <w:szCs w:val="18"/>
          <w:i w:val="1"/>
          <w:iCs w:val="1"/>
          <w:color w:val="auto"/>
        </w:rPr>
        <w:t>Investments-Debt Securities</w:t>
      </w:r>
      <w:r>
        <w:rPr>
          <w:rFonts w:ascii="Times New Roman" w:cs="Times New Roman" w:eastAsia="Times New Roman" w:hAnsi="Times New Roman"/>
          <w:sz w:val="18"/>
          <w:szCs w:val="18"/>
          <w:color w:val="auto"/>
        </w:rPr>
        <w:t>, was applied and the investment was recorded in the consolidated balance sheets as a commercial loan investment at the time of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right="100" w:hanging="319"/>
        <w:spacing w:after="0" w:line="25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 A Premier Retail Preferred Investment. </w:t>
      </w:r>
      <w:r>
        <w:rPr>
          <w:rFonts w:ascii="Times New Roman" w:cs="Times New Roman" w:eastAsia="Times New Roman" w:hAnsi="Times New Roman"/>
          <w:sz w:val="18"/>
          <w:szCs w:val="18"/>
          <w:color w:val="auto"/>
        </w:rPr>
        <w:t>On April 17, 2026, the Company entered into a preferred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to provide $75.0 million of funding towards a Class A premier retail property located in the Southwest (the “Class A Premier Retail Preferred Investment”). Pursuant to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determined it is not the primary beneficiary of the entity underlying the Class A Premier Retail Preferred Investment; accordingly, the $75.0 million was recorded on the consolidated balance sheets as a commercial loan investment at the time of acquisition. The Class A Premier Retail Preferred Investment is mandatorily redeemable no later than the earlier of April 17, 2028, or upon the occurrence of certain other specified events. The Class A Premier Retail Preferred Investment bears a rate of 12.0% for the first year, and 11.0% thereafter. Additionally, at the election of the managing member of the Class A Premier Retail Preferred Investment, up to 3.0% of the return can be deferred as paid-in-kind (“PIK”) interest for a period of up to one year. If such election is made, any accrued and unpaid deferred return will continue to accrue at the applicable rate, plus 1.0% until repaid. There is an option to extend the stated redemption date for one additional year, in which case the rate would increase to 13.0%. At closing, a 1.25% origination fee, or $0.9 million, was received by the Company. The Class A Premier Retail Preferred Investment represents $75.0 million, or less than 5%, of funding towards the total investment in a Class A retail property located in the Southwest. The remaining funding is comprised of a combination of third-party sponsorship equity and secured debt.</w:t>
      </w:r>
    </w:p>
    <w:p>
      <w:pPr>
        <w:spacing w:after="0" w:line="194" w:lineRule="exact"/>
        <w:rPr>
          <w:rFonts w:ascii="Times New Roman" w:cs="Times New Roman" w:eastAsia="Times New Roman" w:hAnsi="Times New Roman"/>
          <w:sz w:val="18"/>
          <w:szCs w:val="18"/>
          <w:color w:val="auto"/>
        </w:rPr>
      </w:pPr>
    </w:p>
    <w:p>
      <w:pPr>
        <w:jc w:val="both"/>
        <w:ind w:left="720" w:right="100" w:hanging="319"/>
        <w:spacing w:after="0" w:line="25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Grocery-Anchored Retail Development Preferred Investment. </w:t>
      </w:r>
      <w:r>
        <w:rPr>
          <w:rFonts w:ascii="Times New Roman" w:cs="Times New Roman" w:eastAsia="Times New Roman" w:hAnsi="Times New Roman"/>
          <w:sz w:val="18"/>
          <w:szCs w:val="18"/>
          <w:color w:val="auto"/>
        </w:rPr>
        <w:t>On May 7, 2026, the Company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preferred equity agreement to provide $21.4 million of funding towards a grocery-anchored retail shopping center located in the Northeast (the “Grocery-Anchored Retail Development Preferred Investment”). Pursuant to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determined it is not the primary beneficiary of the entity underlying the Grocery-Anchored Retail Development Preferred Investment; accordingly, the $21.4 million was recorded on the consolidated balance sheets as a commercial loan investment at the time of acquisition. The Grocery-Anchored Retail Development Preferred Investment is mandatorily redeemable on October 31, 2027, with a one-year option to extend to October 31, 2028. The Grocery-Anchored Retail Development Preferred Investment bears a rate of 12.0%, including 3.0% accrued PIK interest. If the one-year extension is exercised, the rate would increase to 13.0%, including 3.0% accrued PIK interest. At closing, a 1.00% origination fee, or $0.2 million, was received by the Company. The Grocery-Anchored Retail Development Preferred Investment represents $21.4 million, or approximately 17%, of funding towards the total investment in the grocery-anchored retail development located in the Northeast. The remaining funding is comprised of a combination of third-party sponsorship equity and secured debt.</w:t>
      </w:r>
    </w:p>
    <w:p>
      <w:pPr>
        <w:spacing w:after="0" w:line="187" w:lineRule="exact"/>
        <w:rPr>
          <w:sz w:val="20"/>
          <w:szCs w:val="20"/>
          <w:color w:val="auto"/>
        </w:rPr>
      </w:pPr>
    </w:p>
    <w:p>
      <w:pPr>
        <w:ind w:left="60"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September 30, 2026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Original</w:t>
            </w:r>
          </w:p>
        </w:tc>
        <w:tc>
          <w:tcPr>
            <w:tcW w:w="1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60" w:type="dxa"/>
            <w:vAlign w:val="bottom"/>
          </w:tcPr>
          <w:p>
            <w:pPr>
              <w:spacing w:after="0"/>
              <w:rPr>
                <w:sz w:val="14"/>
                <w:szCs w:val="14"/>
                <w:color w:val="auto"/>
              </w:rPr>
            </w:pPr>
          </w:p>
        </w:tc>
        <w:tc>
          <w:tcPr>
            <w:tcW w:w="720" w:type="dxa"/>
            <w:vAlign w:val="bottom"/>
            <w:gridSpan w:val="3"/>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4"/>
                <w:szCs w:val="14"/>
                <w:color w:val="auto"/>
              </w:rPr>
            </w:pPr>
          </w:p>
        </w:tc>
        <w:tc>
          <w:tcPr>
            <w:tcW w:w="52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8"/>
              </w:rPr>
              <w:t>Coupon</w:t>
            </w:r>
          </w:p>
        </w:tc>
        <w:tc>
          <w:tcPr>
            <w:tcW w:w="0" w:type="dxa"/>
            <w:vAlign w:val="bottom"/>
          </w:tcPr>
          <w:p>
            <w:pPr>
              <w:spacing w:after="0"/>
              <w:rPr>
                <w:sz w:val="1"/>
                <w:szCs w:val="1"/>
                <w:color w:val="auto"/>
              </w:rPr>
            </w:pPr>
          </w:p>
        </w:tc>
      </w:tr>
      <w:tr>
        <w:trPr>
          <w:trHeight w:val="18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 Investment</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Amount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Amount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Rate</w:t>
            </w:r>
          </w:p>
        </w:tc>
        <w:tc>
          <w:tcPr>
            <w:tcW w:w="0" w:type="dxa"/>
            <w:vAlign w:val="bottom"/>
          </w:tcPr>
          <w:p>
            <w:pPr>
              <w:spacing w:after="0"/>
              <w:rPr>
                <w:sz w:val="1"/>
                <w:szCs w:val="1"/>
                <w:color w:val="auto"/>
              </w:rPr>
            </w:pPr>
          </w:p>
        </w:tc>
      </w:tr>
      <w:tr>
        <w:trPr>
          <w:trHeight w:val="155"/>
        </w:trPr>
        <w:tc>
          <w:tcPr>
            <w:tcW w:w="3540" w:type="dxa"/>
            <w:vAlign w:val="bottom"/>
            <w:tcBorders>
              <w:top w:val="single" w:sz="8" w:color="auto"/>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Mortgage Note – Founders Square – Dallas, TX</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March 2023</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March 2027</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14,973</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9.50%</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 Preferred Investment</w:t>
            </w:r>
          </w:p>
        </w:tc>
        <w:tc>
          <w:tcPr>
            <w:tcW w:w="160" w:type="dxa"/>
            <w:vAlign w:val="bottom"/>
          </w:tcPr>
          <w:p>
            <w:pPr>
              <w:spacing w:after="0"/>
              <w:rPr>
                <w:sz w:val="19"/>
                <w:szCs w:val="19"/>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July 2024</w:t>
            </w:r>
          </w:p>
        </w:tc>
        <w:tc>
          <w:tcPr>
            <w:tcW w:w="120" w:type="dxa"/>
            <w:vAlign w:val="bottom"/>
          </w:tcPr>
          <w:p>
            <w:pPr>
              <w:spacing w:after="0"/>
              <w:rPr>
                <w:sz w:val="19"/>
                <w:szCs w:val="19"/>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July 2029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9,945</w:t>
            </w:r>
          </w:p>
        </w:tc>
        <w:tc>
          <w:tcPr>
            <w:tcW w:w="40" w:type="dxa"/>
            <w:vAlign w:val="bottom"/>
          </w:tcPr>
          <w:p>
            <w:pPr>
              <w:spacing w:after="0"/>
              <w:rPr>
                <w:sz w:val="19"/>
                <w:szCs w:val="19"/>
                <w:color w:val="auto"/>
              </w:rPr>
            </w:pPr>
          </w:p>
        </w:tc>
        <w:tc>
          <w:tcPr>
            <w:tcW w:w="64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14.00%</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5"/>
                <w:szCs w:val="15"/>
                <w:color w:val="auto"/>
              </w:rPr>
              <w:t xml:space="preserve">Construction Loan - Rivana - Herndon, VA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5"/>
                <w:szCs w:val="15"/>
                <w:color w:val="auto"/>
              </w:rPr>
              <w:t>September 2024</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5"/>
                <w:szCs w:val="15"/>
                <w:color w:val="auto"/>
              </w:rPr>
              <w:t>September 2028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48,937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47,798</w:t>
            </w:r>
          </w:p>
        </w:tc>
        <w:tc>
          <w:tcPr>
            <w:tcW w:w="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11.65%</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Construction Loan - Whole Foods - Forsyth, GA</w:t>
            </w:r>
          </w:p>
        </w:tc>
        <w:tc>
          <w:tcPr>
            <w:tcW w:w="160" w:type="dxa"/>
            <w:vAlign w:val="bottom"/>
          </w:tcPr>
          <w:p>
            <w:pPr>
              <w:spacing w:after="0"/>
              <w:rPr>
                <w:sz w:val="19"/>
                <w:szCs w:val="19"/>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November 2024</w:t>
            </w:r>
          </w:p>
        </w:tc>
        <w:tc>
          <w:tcPr>
            <w:tcW w:w="120" w:type="dxa"/>
            <w:vAlign w:val="bottom"/>
          </w:tcPr>
          <w:p>
            <w:pPr>
              <w:spacing w:after="0"/>
              <w:rPr>
                <w:sz w:val="19"/>
                <w:szCs w:val="19"/>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May 2027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21,748</w:t>
            </w:r>
          </w:p>
        </w:tc>
        <w:tc>
          <w:tcPr>
            <w:tcW w:w="40" w:type="dxa"/>
            <w:vAlign w:val="bottom"/>
          </w:tcPr>
          <w:p>
            <w:pPr>
              <w:spacing w:after="0"/>
              <w:rPr>
                <w:sz w:val="19"/>
                <w:szCs w:val="19"/>
                <w:color w:val="auto"/>
              </w:rPr>
            </w:pPr>
          </w:p>
        </w:tc>
        <w:tc>
          <w:tcPr>
            <w:tcW w:w="64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12.15%</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Mortgage Note - Mainstreet - Daytona Beach, FL</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August 2025</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August 2030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4,981</w:t>
            </w:r>
          </w:p>
        </w:tc>
        <w:tc>
          <w:tcPr>
            <w:tcW w:w="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6.50%</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Class A Premier Retail Preferred Investment – Southwest</w:t>
            </w:r>
          </w:p>
        </w:tc>
        <w:tc>
          <w:tcPr>
            <w:tcW w:w="160" w:type="dxa"/>
            <w:vAlign w:val="bottom"/>
          </w:tcPr>
          <w:p>
            <w:pPr>
              <w:spacing w:after="0"/>
              <w:rPr>
                <w:sz w:val="19"/>
                <w:szCs w:val="19"/>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April 2026</w:t>
            </w:r>
          </w:p>
        </w:tc>
        <w:tc>
          <w:tcPr>
            <w:tcW w:w="120" w:type="dxa"/>
            <w:vAlign w:val="bottom"/>
          </w:tcPr>
          <w:p>
            <w:pPr>
              <w:spacing w:after="0"/>
              <w:rPr>
                <w:sz w:val="19"/>
                <w:szCs w:val="19"/>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April 2028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74,448</w:t>
            </w:r>
          </w:p>
        </w:tc>
        <w:tc>
          <w:tcPr>
            <w:tcW w:w="40" w:type="dxa"/>
            <w:vAlign w:val="bottom"/>
          </w:tcPr>
          <w:p>
            <w:pPr>
              <w:spacing w:after="0"/>
              <w:rPr>
                <w:sz w:val="19"/>
                <w:szCs w:val="19"/>
                <w:color w:val="auto"/>
              </w:rPr>
            </w:pPr>
          </w:p>
        </w:tc>
        <w:tc>
          <w:tcPr>
            <w:tcW w:w="64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12.00 %</w:t>
            </w:r>
          </w:p>
        </w:tc>
        <w:tc>
          <w:tcPr>
            <w:tcW w:w="0" w:type="dxa"/>
            <w:vAlign w:val="bottom"/>
          </w:tcPr>
          <w:p>
            <w:pPr>
              <w:spacing w:after="0"/>
              <w:rPr>
                <w:sz w:val="1"/>
                <w:szCs w:val="1"/>
                <w:color w:val="auto"/>
              </w:rPr>
            </w:pPr>
          </w:p>
        </w:tc>
      </w:tr>
      <w:tr>
        <w:trPr>
          <w:trHeight w:val="142"/>
        </w:trPr>
        <w:tc>
          <w:tcPr>
            <w:tcW w:w="35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Grocery-Anchored Retail Development Preferred</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5"/>
                <w:szCs w:val="15"/>
                <w:color w:val="auto"/>
              </w:rPr>
              <w:t xml:space="preserve">Investment – Northeast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May 2026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5"/>
                <w:szCs w:val="15"/>
                <w:color w:val="auto"/>
              </w:rPr>
              <w:t>October 2027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21,363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21,621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21,465</w:t>
            </w:r>
          </w:p>
        </w:tc>
        <w:tc>
          <w:tcPr>
            <w:tcW w:w="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12.00 %</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Construction Loan - Mixed-Use Property - Austin, TX</w:t>
            </w: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July 2026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July 2028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37,000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29,793</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29,379</w:t>
            </w: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9.75%</w:t>
            </w: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263,763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227,945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224,737</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(2,257)</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4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222,480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840" w:right="100" w:hanging="331"/>
        <w:spacing w:after="0" w:line="229" w:lineRule="auto"/>
        <w:tabs>
          <w:tab w:leader="none" w:pos="84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Amounts funded prior to December 31, 2025 carry a coupon rate of 11.50%, while draws subsequent to that date have a 12.00% coupon rate, including 10.00% cash and 2.00% accrued paid-in-kind interest. The disclosed rate of 11.65% represents the weighted average coupon rate as of September 30, 2026.</w:t>
      </w:r>
    </w:p>
    <w:p>
      <w:pPr>
        <w:ind w:left="840" w:hanging="331"/>
        <w:spacing w:after="0"/>
        <w:tabs>
          <w:tab w:leader="none" w:pos="84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9.00% cash interest and 3.00% paid-in-kind.</w:t>
      </w:r>
    </w:p>
    <w:p>
      <w:pPr>
        <w:sectPr>
          <w:pgSz w:w="11900" w:h="16838" w:orient="portrait"/>
          <w:cols w:equalWidth="0" w:num="1">
            <w:col w:w="9040"/>
          </w:cols>
          <w:pgMar w:left="1440" w:top="513"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180" w:firstLine="441"/>
        <w:spacing w:after="0" w:line="266"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2025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Original</w:t>
            </w:r>
          </w:p>
        </w:tc>
        <w:tc>
          <w:tcPr>
            <w:tcW w:w="160" w:type="dxa"/>
            <w:vAlign w:val="bottom"/>
          </w:tcPr>
          <w:p>
            <w:pPr>
              <w:spacing w:after="0"/>
              <w:rPr>
                <w:sz w:val="15"/>
                <w:szCs w:val="15"/>
                <w:color w:val="auto"/>
              </w:rPr>
            </w:pPr>
          </w:p>
        </w:tc>
        <w:tc>
          <w:tcPr>
            <w:tcW w:w="6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60" w:type="dxa"/>
            <w:vAlign w:val="bottom"/>
          </w:tcPr>
          <w:p>
            <w:pPr>
              <w:spacing w:after="0"/>
              <w:rPr>
                <w:sz w:val="14"/>
                <w:szCs w:val="14"/>
                <w:color w:val="auto"/>
              </w:rPr>
            </w:pPr>
          </w:p>
        </w:tc>
        <w:tc>
          <w:tcPr>
            <w:tcW w:w="720" w:type="dxa"/>
            <w:vAlign w:val="bottom"/>
            <w:gridSpan w:val="3"/>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4"/>
                <w:szCs w:val="14"/>
                <w:color w:val="auto"/>
              </w:rPr>
            </w:pPr>
          </w:p>
        </w:tc>
        <w:tc>
          <w:tcPr>
            <w:tcW w:w="5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Coupon</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Investment</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4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Amount</w:t>
            </w:r>
          </w:p>
        </w:tc>
        <w:tc>
          <w:tcPr>
            <w:tcW w:w="84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Amount</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Rate</w:t>
            </w:r>
          </w:p>
        </w:tc>
        <w:tc>
          <w:tcPr>
            <w:tcW w:w="0" w:type="dxa"/>
            <w:vAlign w:val="bottom"/>
          </w:tcPr>
          <w:p>
            <w:pPr>
              <w:spacing w:after="0"/>
              <w:rPr>
                <w:sz w:val="1"/>
                <w:szCs w:val="1"/>
                <w:color w:val="auto"/>
              </w:rPr>
            </w:pPr>
          </w:p>
        </w:tc>
      </w:tr>
      <w:tr>
        <w:trPr>
          <w:trHeight w:val="156"/>
        </w:trPr>
        <w:tc>
          <w:tcPr>
            <w:tcW w:w="350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Preferred Investment – Watters Creek – Allen, TX</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2022</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2026</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29,980</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9.50%</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Mortgage Note – Founders Square – Dallas, TX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March 2023</w:t>
            </w:r>
          </w:p>
        </w:tc>
        <w:tc>
          <w:tcPr>
            <w:tcW w:w="1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March 2027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14,992</w:t>
            </w:r>
          </w:p>
        </w:tc>
        <w:tc>
          <w:tcPr>
            <w:tcW w:w="40" w:type="dxa"/>
            <w:vAlign w:val="bottom"/>
          </w:tcPr>
          <w:p>
            <w:pPr>
              <w:spacing w:after="0"/>
              <w:rPr>
                <w:sz w:val="14"/>
                <w:szCs w:val="14"/>
                <w:color w:val="auto"/>
              </w:rPr>
            </w:pPr>
          </w:p>
        </w:tc>
        <w:tc>
          <w:tcPr>
            <w:tcW w:w="680" w:type="dxa"/>
            <w:vAlign w:val="bottom"/>
            <w:gridSpan w:val="2"/>
          </w:tcPr>
          <w:p>
            <w:pPr>
              <w:jc w:val="center"/>
              <w:ind w:left="44"/>
              <w:spacing w:after="0" w:line="162" w:lineRule="exact"/>
              <w:rPr>
                <w:sz w:val="20"/>
                <w:szCs w:val="20"/>
                <w:color w:val="auto"/>
              </w:rPr>
            </w:pPr>
            <w:r>
              <w:rPr>
                <w:rFonts w:ascii="Times New Roman" w:cs="Times New Roman" w:eastAsia="Times New Roman" w:hAnsi="Times New Roman"/>
                <w:sz w:val="15"/>
                <w:szCs w:val="15"/>
                <w:color w:val="auto"/>
              </w:rPr>
              <w:t>8.75%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 Preferred Investment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2024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2029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9,929</w:t>
            </w:r>
          </w:p>
        </w:tc>
        <w:tc>
          <w:tcPr>
            <w:tcW w:w="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14.00%</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line="229" w:lineRule="exact"/>
              <w:rPr>
                <w:sz w:val="20"/>
                <w:szCs w:val="20"/>
                <w:color w:val="auto"/>
              </w:rPr>
            </w:pPr>
            <w:r>
              <w:rPr>
                <w:rFonts w:ascii="Times New Roman" w:cs="Times New Roman" w:eastAsia="Times New Roman" w:hAnsi="Times New Roman"/>
                <w:sz w:val="15"/>
                <w:szCs w:val="15"/>
                <w:color w:val="auto"/>
              </w:rPr>
              <w:t xml:space="preserve">Construction Loan - Rivana - Herndon, VA </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2024</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59,450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32,478</w:t>
            </w:r>
          </w:p>
        </w:tc>
        <w:tc>
          <w:tcPr>
            <w:tcW w:w="40" w:type="dxa"/>
            <w:vAlign w:val="bottom"/>
          </w:tcPr>
          <w:p>
            <w:pPr>
              <w:spacing w:after="0"/>
              <w:rPr>
                <w:sz w:val="19"/>
                <w:szCs w:val="19"/>
                <w:color w:val="auto"/>
              </w:rPr>
            </w:pPr>
          </w:p>
        </w:tc>
        <w:tc>
          <w:tcPr>
            <w:tcW w:w="68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11.50%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Construction Loan - Whole Foods - Forsyth, GA</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November 2024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May 2027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13,588</w:t>
            </w:r>
          </w:p>
        </w:tc>
        <w:tc>
          <w:tcPr>
            <w:tcW w:w="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12.15%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Mortgage Note - Mainstreet - Daytona Beach, FL</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August 2025</w:t>
            </w: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August 2030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4,977</w:t>
            </w:r>
          </w:p>
        </w:tc>
        <w:tc>
          <w:tcPr>
            <w:tcW w:w="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6.50%</w:t>
            </w:r>
          </w:p>
        </w:tc>
        <w:tc>
          <w:tcPr>
            <w:tcW w:w="0" w:type="dxa"/>
            <w:vAlign w:val="bottom"/>
          </w:tcPr>
          <w:p>
            <w:pPr>
              <w:spacing w:after="0"/>
              <w:rPr>
                <w:sz w:val="1"/>
                <w:szCs w:val="1"/>
                <w:color w:val="auto"/>
              </w:rPr>
            </w:pPr>
          </w:p>
        </w:tc>
      </w:tr>
      <w:tr>
        <w:trPr>
          <w:trHeight w:val="155"/>
        </w:trPr>
        <w:tc>
          <w:tcPr>
            <w:tcW w:w="35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159,650</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108,050</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105,944</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(1,140)</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104,804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414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35" w:lineRule="exact"/>
        <w:rPr>
          <w:sz w:val="20"/>
          <w:szCs w:val="20"/>
          <w:color w:val="auto"/>
        </w:rPr>
      </w:pPr>
    </w:p>
    <w:p>
      <w:pPr>
        <w:ind w:left="840" w:hanging="331"/>
        <w:spacing w:after="0"/>
        <w:tabs>
          <w:tab w:leader="none" w:pos="84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Coupon rate increased to 9.5% effective January 1, 2026.</w:t>
      </w:r>
    </w:p>
    <w:p>
      <w:pPr>
        <w:spacing w:after="0" w:line="27" w:lineRule="exact"/>
        <w:rPr>
          <w:rFonts w:ascii="Times New Roman" w:cs="Times New Roman" w:eastAsia="Times New Roman" w:hAnsi="Times New Roman"/>
          <w:sz w:val="11"/>
          <w:szCs w:val="11"/>
          <w:color w:val="auto"/>
        </w:rPr>
      </w:pPr>
    </w:p>
    <w:p>
      <w:pPr>
        <w:ind w:left="840" w:hanging="331"/>
        <w:spacing w:after="0" w:line="188" w:lineRule="auto"/>
        <w:tabs>
          <w:tab w:leader="none" w:pos="8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Future draws funded will have a 12.0% coupon rate including 10% cash and 2.0% accrued paid-in-kind interest</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left="60" w:right="160" w:firstLine="441"/>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portfolio at September 30, 2026 and December 31, 2025 consisted of the following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5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2026 ​</w:t>
            </w:r>
          </w:p>
        </w:tc>
        <w:tc>
          <w:tcPr>
            <w:tcW w:w="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108,050</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Unaccreted Exit Fees</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MANAGEMENT SERVICES BUSINESS</w:t>
      </w:r>
    </w:p>
    <w:p>
      <w:pPr>
        <w:spacing w:after="0" w:line="227" w:lineRule="exact"/>
        <w:rPr>
          <w:sz w:val="20"/>
          <w:szCs w:val="20"/>
          <w:color w:val="auto"/>
        </w:rPr>
      </w:pPr>
    </w:p>
    <w:p>
      <w:pPr>
        <w:jc w:val="both"/>
        <w:ind w:left="60" w:right="180" w:firstLine="441"/>
        <w:spacing w:after="0" w:line="284" w:lineRule="auto"/>
        <w:rPr>
          <w:sz w:val="20"/>
          <w:szCs w:val="20"/>
          <w:color w:val="auto"/>
        </w:rPr>
      </w:pPr>
      <w:r>
        <w:rPr>
          <w:rFonts w:ascii="Times New Roman" w:cs="Times New Roman" w:eastAsia="Times New Roman" w:hAnsi="Times New Roman"/>
          <w:sz w:val="18"/>
          <w:szCs w:val="18"/>
          <w:color w:val="auto"/>
        </w:rPr>
        <w:t xml:space="preserve">The Company’s management fee income is within the scope of FASB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Management fee income is recognized as revenue over time, over the period the services are performed.</w:t>
      </w:r>
    </w:p>
    <w:p>
      <w:pPr>
        <w:spacing w:after="0" w:line="158" w:lineRule="exact"/>
        <w:rPr>
          <w:sz w:val="20"/>
          <w:szCs w:val="20"/>
          <w:color w:val="auto"/>
        </w:rPr>
      </w:pPr>
    </w:p>
    <w:p>
      <w:pPr>
        <w:jc w:val="both"/>
        <w:ind w:left="60" w:right="16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Related Party Management of Alpine Income Property Trust. </w:t>
      </w:r>
      <w:r>
        <w:rPr>
          <w:rFonts w:ascii="Times New Roman" w:cs="Times New Roman" w:eastAsia="Times New Roman" w:hAnsi="Times New Roman"/>
          <w:sz w:val="18"/>
          <w:szCs w:val="18"/>
          <w:color w:val="auto"/>
        </w:rPr>
        <w:t>Pursuant to the Company’s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PINE, the Company generates a base management fee equal to 0.375% per quarter of PINE’s total equity (as defined in the management agreement and based on a 1.5% annual rate), calculated and payable in cash, quarterly in arrears. The Company has waived a portion of the base management fee attributable to the inclusion of the net cash proceeds from the issuance of PINE’s Series A Preferred Stock in PINE’s “total equity” (the “Incremental Equity Base”), such that the base management fee rate on the Incremental Equity Base is equal to 0.75% per annum (0.1875% per fiscal quarter), instead of 1.50% per annum (0.375% per fiscal quarter), as provided in the management agreement.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2025.</w:t>
      </w:r>
    </w:p>
    <w:p>
      <w:pPr>
        <w:spacing w:after="0" w:line="192" w:lineRule="exact"/>
        <w:rPr>
          <w:sz w:val="20"/>
          <w:szCs w:val="20"/>
          <w:color w:val="auto"/>
        </w:rPr>
      </w:pPr>
    </w:p>
    <w:p>
      <w:pPr>
        <w:jc w:val="both"/>
        <w:ind w:left="60" w:right="160" w:firstLine="441"/>
        <w:spacing w:after="0" w:line="255" w:lineRule="auto"/>
        <w:rPr>
          <w:sz w:val="20"/>
          <w:szCs w:val="20"/>
          <w:color w:val="auto"/>
        </w:rPr>
      </w:pPr>
      <w:r>
        <w:rPr>
          <w:rFonts w:ascii="Times New Roman" w:cs="Times New Roman" w:eastAsia="Times New Roman" w:hAnsi="Times New Roman"/>
          <w:sz w:val="18"/>
          <w:szCs w:val="18"/>
          <w:color w:val="auto"/>
        </w:rPr>
        <w:t>The Company earned management fees from PINE of $1.4 million and $1.1 million for the three months ended September 30, 2026 and 2025, respectively, and $4.1 million and $3.3 million for the nine months ended September 30, 2026 and 2025, respectively. Dividend income for the three month periods ended September 30, 2026 and 2025 totaled $0.8 million and $0.7 million, respectively. Dividend income for the nine month periods ended September 30, 2026 and 2025 totaled $2.3 million and $2.1 million, respectively. Management fee revenue from PINE, included in management services, and dividend income, included in investment and other income, are reflected in the accompanying consolidated statements of operations.</w:t>
      </w:r>
    </w:p>
    <w:p>
      <w:pPr>
        <w:sectPr>
          <w:pgSz w:w="11900" w:h="16838" w:orient="portrait"/>
          <w:cols w:equalWidth="0" w:num="1">
            <w:col w:w="9120"/>
          </w:cols>
          <w:pgMar w:left="1440" w:top="51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due from PINE as of September 30, 2026 and December 31, 2025 which are included in other assets on the consolidated balance sheets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 Fee Due From PINE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From time to time following PINE’s IPO, the Company’s Board of Directors has authorized the purchase by the Company of additional shares of common stock of PINE. Pursuant to these authorizations, the Company has purchased 431,912 shares of PINE common stock on the open market subsequent to PINE’s IPO for a total cost of $7.0 million, including fees, or a weighted average gross price of $16.15 per share. No purchases of PINE common stock were completed during the three months ended September 30, 2026.</w:t>
      </w:r>
    </w:p>
    <w:p>
      <w:pPr>
        <w:spacing w:after="0" w:line="183"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owns, in the aggregate, 1,223,854 OP Units and 1,247,702 shares of PINE common stock, representing an investment totaling $42.9 million, or 12.9% of PINE’s outstanding equity.</w:t>
      </w:r>
    </w:p>
    <w:p>
      <w:pPr>
        <w:spacing w:after="0" w:line="16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Portfolio Management Agreement. </w:t>
      </w:r>
      <w:r>
        <w:rPr>
          <w:rFonts w:ascii="Times New Roman" w:cs="Times New Roman" w:eastAsia="Times New Roman" w:hAnsi="Times New Roman"/>
          <w:sz w:val="18"/>
          <w:szCs w:val="18"/>
          <w:color w:val="auto"/>
        </w:rPr>
        <w:t>On December 4, 2023, the Company entered into an asset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Pursuant to the Portfolio Management Agreement, which is included in management fee income on the Company’s consolidated statements of operations, the Company recognized less than $0.1 million and $0.1 million of revenue during the three months ended September 30, 2026 and September 30, 2025, respectively. During each of the nine month periods ended September 30, 2026 and 2025, the Company recognized revenue of $0.2 million pursuant to the Portfolio Management Agreement.</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Management Agreement. </w:t>
      </w:r>
      <w:r>
        <w:rPr>
          <w:rFonts w:ascii="Times New Roman" w:cs="Times New Roman" w:eastAsia="Times New Roman" w:hAnsi="Times New Roman"/>
          <w:sz w:val="18"/>
          <w:szCs w:val="18"/>
          <w:color w:val="auto"/>
        </w:rPr>
        <w:t>The Company receives management and other fees pursuant to a subsurface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agreement. The Company recognized less than $0.1 million of revenue during each of the three months ended September 30, 2026 and 2025, and $0.1 million of revenue during each of the nine months ended September 30, 2026 and 2025, pursuant to this agreement, which is included in management fee income on the Company’s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INVESTMENT SECURITIES</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 owns, in the aggregate and on a fully diluted basis, 2.47 million shares of PINE, or 12.9% of PINE’s total common shares outstanding for an investment value of $42.9 million, which total includes 1.2 million OP Units, or 6.4%, which the Company received in exchange for the contribution of certain income properties to the PINE Operating Partnership, in addition to 1,247,702 shares of common stock owned by the Company, or 6.5%. The Company has elected the fair value option related to the aggregate investment in securities of PINE pursuant to ASC 825. For detailed financial information regarding PINE, please refer to its financial statements, which are publicly available on the website of the Securities and Exchange Commission at http://www.sec.gov under the ticker symbol “PINE.”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accompanying consolidated statements of operations.</w:t>
      </w:r>
    </w:p>
    <w:p>
      <w:pPr>
        <w:spacing w:after="0" w:line="17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Company’s available-for-sale securities as of September 30, 2026 and December 31, 2025 are summarized below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 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Losses in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2520" w:type="dxa"/>
            <w:vAlign w:val="bottom"/>
          </w:tcPr>
          <w:p>
            <w:pPr>
              <w:spacing w:after="0"/>
              <w:rPr>
                <w:sz w:val="18"/>
                <w:szCs w:val="18"/>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252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(Level 1 Inputs)</w:t>
            </w:r>
          </w:p>
        </w:tc>
      </w:tr>
      <w:tr>
        <w:trPr>
          <w:trHeight w:val="209"/>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21,647</w:t>
            </w: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50"/>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45,739</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42,881</w:t>
            </w:r>
          </w:p>
        </w:tc>
      </w:tr>
      <w:tr>
        <w:trPr>
          <w:trHeight w:val="196"/>
        </w:trPr>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w:t>
            </w:r>
          </w:p>
        </w:tc>
      </w:tr>
      <w:tr>
        <w:trPr>
          <w:trHeight w:val="209"/>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41,324</w:t>
            </w:r>
          </w:p>
        </w:tc>
      </w:tr>
      <w:tr>
        <w:trPr>
          <w:trHeight w:val="20"/>
        </w:trPr>
        <w:tc>
          <w:tcPr>
            <w:tcW w:w="2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FAIR VALUE OF FINANCIAL INSTRUMENTS</w:t>
      </w:r>
    </w:p>
    <w:p>
      <w:pPr>
        <w:spacing w:after="0" w:line="21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September 30, 2026 and December 31,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660" w:type="dxa"/>
            <w:vAlign w:val="bottom"/>
          </w:tcPr>
          <w:p>
            <w:pPr>
              <w:spacing w:after="0"/>
              <w:rPr>
                <w:sz w:val="20"/>
                <w:szCs w:val="20"/>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w:t>
            </w: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 - Level 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109,828</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608,419</w:t>
            </w:r>
          </w:p>
        </w:tc>
      </w:tr>
    </w:tbl>
    <w:p>
      <w:pPr>
        <w:spacing w:after="0" w:line="17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fair value of assets (liabilities) measured on a recurring basis by level as of September 30, 2026 and December 31, 2025 (in thousands). See Note 15, “Interest Rate Swaps” for further disclosure related to the Company’s interest rate swaps.</w:t>
      </w:r>
    </w:p>
    <w:p>
      <w:pPr>
        <w:spacing w:after="0" w:line="185" w:lineRule="exact"/>
        <w:rPr>
          <w:sz w:val="20"/>
          <w:szCs w:val="20"/>
          <w:color w:val="auto"/>
        </w:rPr>
      </w:pPr>
    </w:p>
    <w:tbl>
      <w:tblPr>
        <w:tblLayout w:type="fixed"/>
        <w:tblInd w:w="4200" w:type="dxa"/>
        <w:tblCellMar>
          <w:top w:w="0" w:type="dxa"/>
          <w:left w:w="0" w:type="dxa"/>
          <w:bottom w:w="0" w:type="dxa"/>
          <w:right w:w="0" w:type="dxa"/>
        </w:tblCellMar>
      </w:tblPr>
      <w:tr>
        <w:trPr>
          <w:trHeight w:val="215"/>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at Reporting Date Using</w:t>
            </w:r>
          </w:p>
        </w:tc>
      </w:tr>
      <w:tr>
        <w:trPr>
          <w:trHeight w:val="183"/>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20" w:type="dxa"/>
            <w:vAlign w:val="bottom"/>
          </w:tcPr>
          <w:p>
            <w:pPr>
              <w:spacing w:after="0"/>
              <w:rPr>
                <w:sz w:val="15"/>
                <w:szCs w:val="15"/>
                <w:color w:val="auto"/>
              </w:rPr>
            </w:pPr>
          </w:p>
        </w:tc>
      </w:tr>
      <w:tr>
        <w:trPr>
          <w:trHeight w:val="203"/>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3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3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3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2"/>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(Level 1)</w:t>
            </w:r>
          </w:p>
        </w:tc>
        <w:tc>
          <w:tcPr>
            <w:tcW w:w="1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(Level 2)</w:t>
            </w:r>
          </w:p>
        </w:tc>
        <w:tc>
          <w:tcPr>
            <w:tcW w:w="1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   (Level 3)</w:t>
            </w:r>
          </w:p>
        </w:tc>
      </w:tr>
    </w:tbl>
    <w:p>
      <w:pPr>
        <w:spacing w:after="0" w:line="4" w:lineRule="exact"/>
        <w:rPr>
          <w:sz w:val="20"/>
          <w:szCs w:val="20"/>
          <w:color w:val="auto"/>
        </w:rPr>
      </w:pPr>
    </w:p>
    <w:p>
      <w:pPr>
        <w:sectPr>
          <w:pgSz w:w="11900" w:h="16838" w:orient="portrait"/>
          <w:cols w:equalWidth="0" w:num="1">
            <w:col w:w="9019"/>
          </w:cols>
          <w:pgMar w:left="1440" w:top="513" w:right="1440" w:bottom="1440" w:gutter="0" w:footer="0" w:header="0"/>
        </w:sectPr>
      </w:pPr>
    </w:p>
    <w:tbl>
      <w:tblPr>
        <w:tblLayout w:type="fixed"/>
        <w:tblInd w:w="60" w:type="dxa"/>
        <w:tblCellMar>
          <w:top w:w="0" w:type="dxa"/>
          <w:left w:w="0" w:type="dxa"/>
          <w:bottom w:w="0" w:type="dxa"/>
          <w:right w:w="0" w:type="dxa"/>
        </w:tblCellMar>
      </w:tblPr>
      <w:tr>
        <w:trPr>
          <w:trHeight w:val="204"/>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7"/>
                <w:szCs w:val="17"/>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- 2029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- 2030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- 2031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- 2032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7"/>
                <w:szCs w:val="17"/>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- 2027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- 2028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- 2029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 Hedge - 2030 Term Loan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Flow Hedge - Revolving Facility Interest Rate Swaps $</w:t>
            </w:r>
          </w:p>
        </w:tc>
      </w:tr>
      <w:tr>
        <w:trPr>
          <w:trHeight w:val="210"/>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994</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994</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03"/>
        </w:trPr>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4,836</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4,836</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03"/>
        </w:trPr>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5,646</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5,646</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03"/>
        </w:trPr>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6,251</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6,251</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12"/>
        </w:trPr>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42,881</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42,881</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395"/>
        </w:trPr>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1,496</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1,496</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03"/>
        </w:trPr>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(1,351)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04"/>
        </w:trPr>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01"/>
        </w:trPr>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03"/>
        </w:trPr>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(497)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r>
        <w:trPr>
          <w:trHeight w:val="212"/>
        </w:trPr>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41,324</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41,324</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-1410335</wp:posOffset>
            </wp:positionV>
            <wp:extent cx="564896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-1153160</wp:posOffset>
            </wp:positionV>
            <wp:extent cx="564896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-895985</wp:posOffset>
            </wp:positionV>
            <wp:extent cx="564896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-638810</wp:posOffset>
            </wp:positionV>
            <wp:extent cx="564896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-381635</wp:posOffset>
            </wp:positionV>
            <wp:extent cx="56489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-124460</wp:posOffset>
            </wp:positionV>
            <wp:extent cx="564896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-1675765</wp:posOffset>
            </wp:positionV>
            <wp:extent cx="56489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520"/>
            <w:col w:w="4399"/>
          </w:cols>
          <w:pgMar w:left="1440" w:top="513" w:right="1440" w:bottom="1440" w:gutter="0" w:footer="0" w:header="0"/>
          <w:type w:val="continuous"/>
        </w:sectPr>
      </w:pP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INTANGIBLE ASSETS AND LIABILITIES</w:t>
      </w:r>
    </w:p>
    <w:p>
      <w:pPr>
        <w:spacing w:after="0" w:line="121" w:lineRule="exact"/>
        <w:rPr>
          <w:sz w:val="20"/>
          <w:szCs w:val="20"/>
          <w:color w:val="auto"/>
        </w:rPr>
      </w:pPr>
    </w:p>
    <w:p>
      <w:pPr>
        <w:jc w:val="both"/>
        <w:ind w:left="60" w:right="59" w:firstLine="441"/>
        <w:spacing w:after="0" w:line="250"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2026 and December 31, 2025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1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109,620</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1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1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1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62,308</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and nine months ended September 30, 2026 and 2025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Income Properties Revenue</w:t>
            </w: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09"/>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Amortization expense and accretion to income properties revenue for the three and nine months ended September 30, 2026 includes $1.3 million and $1.7 million, respectively, related to the acceleration of lease intangibles resulting from certain lease terminations during the period. For the three and nine months ended September 30, 2025, amortization expense and accretion to income properties revenue included $0.5 million and $1.8 million, respectively, related to the acceleration of lease intangibles resulting from certain lease terminations during the period.</w:t>
      </w:r>
    </w:p>
    <w:p>
      <w:pPr>
        <w:spacing w:after="0" w:line="183"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Future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Accretion to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Intangible</w:t>
            </w:r>
          </w:p>
        </w:tc>
      </w:tr>
      <w:tr>
        <w:trPr>
          <w:trHeight w:val="216"/>
        </w:trPr>
        <w:tc>
          <w:tcPr>
            <w:tcW w:w="47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Amortization</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Property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and Liabilities</w:t>
            </w:r>
          </w:p>
        </w:tc>
      </w:tr>
      <w:tr>
        <w:trPr>
          <w:trHeight w:val="210"/>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62,308</w:t>
            </w: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2026, the weighted average amortization period of total intangible assets and liabilities was 7.6 years and 9.3 years,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PROVISION FOR IMPAIRMENT AND ADJUSTMENT TO CECL RESERVE</w:t>
      </w:r>
    </w:p>
    <w:p>
      <w:pPr>
        <w:spacing w:after="0" w:line="227"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Properties. </w:t>
      </w:r>
      <w:r>
        <w:rPr>
          <w:rFonts w:ascii="Times New Roman" w:cs="Times New Roman" w:eastAsia="Times New Roman" w:hAnsi="Times New Roman"/>
          <w:sz w:val="18"/>
          <w:szCs w:val="18"/>
          <w:color w:val="auto"/>
        </w:rPr>
        <w:t>There were no impairment charges on the Company’s income property portfolio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or 2025.</w:t>
      </w:r>
    </w:p>
    <w:p>
      <w:pPr>
        <w:spacing w:after="0" w:line="118"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Loans and Investments. </w:t>
      </w:r>
      <w:r>
        <w:rPr>
          <w:rFonts w:ascii="Times New Roman" w:cs="Times New Roman" w:eastAsia="Times New Roman" w:hAnsi="Times New Roman"/>
          <w:sz w:val="18"/>
          <w:szCs w:val="18"/>
          <w:color w:val="auto"/>
        </w:rPr>
        <w:t>During the three and nine months ended September 30, 2026,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an impairment charge of $0.4 million and $1.1 million, respectively, related to its commercial loans and investments. During the nine months ended September 30, 2025, the Company recorded an impairment charge of less than $0.1 million related to its commercial loans and investments.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OTHER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consisted of the following as of September 30, 2026 and December 31, 2025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2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38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Income Property Tenant Receivables, Net of Allowance for Doubtful Accounts </w:t>
            </w:r>
            <w:r>
              <w:rPr>
                <w:rFonts w:ascii="Times New Roman" w:cs="Times New Roman" w:eastAsia="Times New Roman" w:hAnsi="Times New Roman"/>
                <w:sz w:val="24"/>
                <w:szCs w:val="24"/>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Property Straight-line Rent Adjustment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Property Leasing Commissions and Costs,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Right-of-Use Asset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Alpine Income Property Trust, Inc.</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14" w:lineRule="auto"/>
        <w:tabs>
          <w:tab w:leader="none" w:pos="38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Allowance for doubtful accounts was $3.4 million and $2.6 million as of September 30, 2026 and December 31, 2025,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EQUITY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8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w:t>
      </w:r>
    </w:p>
    <w:p>
      <w:pPr>
        <w:spacing w:after="0" w:line="18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Commission declared the 2024 Registration Statement effective on November 12, 2024. The 2022 Registration Statement was terminated concurrently with the effectiveness of the 2024 Registration Statement.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6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has established an “at-the-market” equity offering program pursuant to which the Company may sell, from time to time, shares of the Company’s common stock (the “Common Stock ATM Program”).</w:t>
      </w:r>
    </w:p>
    <w:p>
      <w:pPr>
        <w:spacing w:after="0" w:line="21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sold 1,271,472 shares under the Common Stock ATM Program for gross proceeds of $27.8 million at a weighted average price of $21.83 per share, generating net proceeds of $27.3 million after deducting transaction fees totaling $0.5 million. The Company was not active under the Common Stock ATM Program during the three months ended September 30, 2025.</w:t>
      </w:r>
    </w:p>
    <w:p>
      <w:pPr>
        <w:spacing w:after="0" w:line="214"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sold 6,188,971 shares under the Common Stock ATM Program for gross proceeds of $127.0 million at a weighted average price of $20.52 per share, generating net proceeds of $125.1 million after deducting transaction fees totaling $1.9 million. The Company was not active under the Common Stock ATM Program during the nine months ended September 30, 2025.</w:t>
      </w:r>
    </w:p>
    <w:p>
      <w:pPr>
        <w:spacing w:after="0" w:line="214"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may also enter into forward sale agreements under its Common Stock ATM Program. The above activity included forward sales during the nine months ended September 30, 2026, all of which were settled as of September 30, 2026.</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$89.5 million of availability remained under the Common Stock ATM Program.</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1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p>
    <w:p>
      <w:pPr>
        <w:spacing w:after="0" w:line="18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April 4, 2024, the Company priced a public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p>
    <w:p>
      <w:pPr>
        <w:spacing w:after="0" w:line="174"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has also established an “at-the-market” equity offering program pursuant to which the Company may sell, from time to time, shares of the Series A Preferred Stock (the “Preferred Stock ATM Program”). The Company was not active under the Preferred Stock ATM Program during the three and nine months ended September 30, 2026 or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6"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The Company may, at its option, redeem the Series A Preferred Stock, in whole or in part, at any time or from time to time, for cash at a redemption price of $25.00 per share, plus any accrued and unpaid dividends on such Series A Preferred Stock up to, but excluding, the date of redemption.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13, “Share Repurchases” for the Company’s Series A Preferred Stock repurchase activity.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92"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outlines dividends declared and paid for the Series A Preferred Stock and the Company’s common stock during the three and nine months ended September 30, 2026 and 2025 (in thousands, except per share data):</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Dividends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rPr>
              <w:t>Per Share</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Common Stock</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Dividends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rPr>
              <w:t>Per Share</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COMMON STOCK AND EARNINGS PER SHARE</w:t>
      </w:r>
    </w:p>
    <w:p>
      <w:pPr>
        <w:spacing w:after="0" w:line="108" w:lineRule="exact"/>
        <w:rPr>
          <w:sz w:val="20"/>
          <w:szCs w:val="20"/>
          <w:color w:val="auto"/>
        </w:rPr>
      </w:pPr>
    </w:p>
    <w:p>
      <w:pPr>
        <w:jc w:val="both"/>
        <w:ind w:left="60" w:right="59" w:firstLine="441"/>
        <w:spacing w:after="0" w:line="245"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for each of the periods presented (in thousands, except share and per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2"/>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gridSpan w:val="2"/>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(7,050)</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0" w:type="dxa"/>
            <w:vAlign w:val="bottom"/>
          </w:tcPr>
          <w:p>
            <w:pPr>
              <w:spacing w:after="0"/>
              <w:rPr>
                <w:sz w:val="1"/>
                <w:szCs w:val="1"/>
                <w:color w:val="auto"/>
              </w:rPr>
            </w:pPr>
          </w:p>
        </w:tc>
      </w:tr>
      <w:tr>
        <w:trPr>
          <w:trHeight w:val="26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460" w:type="dxa"/>
            <w:vAlign w:val="bottom"/>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Shares: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37,537,899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35,033,606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32,298,304</w:t>
            </w:r>
          </w:p>
        </w:tc>
        <w:tc>
          <w:tcPr>
            <w:tcW w:w="0" w:type="dxa"/>
            <w:vAlign w:val="bottom"/>
          </w:tcPr>
          <w:p>
            <w:pPr>
              <w:spacing w:after="0"/>
              <w:rPr>
                <w:sz w:val="1"/>
                <w:szCs w:val="1"/>
                <w:color w:val="auto"/>
              </w:rPr>
            </w:pPr>
          </w:p>
        </w:tc>
      </w:tr>
      <w:tr>
        <w:trPr>
          <w:trHeight w:val="198"/>
        </w:trPr>
        <w:tc>
          <w:tcPr>
            <w:tcW w:w="3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Shares Applicable to Unvested Restricted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Using the Treasury Stock Method</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37,621,472</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32,682,775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35,081,726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32,313,895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There were 83,573 and 48,120 potentially dilutive shares related to the Company’s restricted stock for the three and nine months ended September 30, 2026, respectively. There were 31,674 and 15,591 potentially dilutive shares related to the Company’s restricted stock for the three and nine months ended September 30, 2025,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22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December 12, 2023, the Company’s Board of Directors approved a common stock repurchase program (the “December 2023 Common Stock Repurchase Program”). Pursuant to the December 2023 Common Stock Repurchase Program, the Company was authorized to repurchase shares of its common stock for a total purchase price of up to $5.0 million. During the year ended December 31, 2024, the Company repurchased 40,726 shares of its common stock on the open market for a total cost of $0.7 million, or an average price per share of $16.28 pursuant to the December 2023 Common Stock Repurchase Program. During the year ended December 31, 2025, the Company repurchased 266,161 shares of its common stock on the open market for a total cost of $4.3 million, or an average price per share of $16.29 pursuant to the December 2023 Common Stock Repurchase Program. Accordingly, as of the date that the Company’s Board of Directors established the September 2025 Common Stock Repurchase Program (hereinafter defined), no shares of the Company’s common stock remained available for repurchase under the December 2023 Common Stock Repurchase Program.</w:t>
      </w:r>
    </w:p>
    <w:p>
      <w:pPr>
        <w:spacing w:after="0" w:line="19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September 24, 2025, the Company’s Board of Directors approved a common stock repurchase program (the “September 2025 Common Stock Repurchase Program”). Pursuant to the September 2025 Common Stock Repurchase Program, the Company may repurchase shares of its common stock for a total purchase price of up to $10.0 million. Shares may be purchased under the September 2025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September 2025 Common Stock Repurchase Program does not obligate the Company to acquire any particular amount of shares of its common stock and may be modified or suspended. During the year ended December 31, 2025, the Company repurchased 307,563 shares of its common stock on the open market for a total cost of $5.0 million, or an average price per share of $16.26, pursuant to the September 2025 Common Stock Repurchase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40" w:firstLine="441"/>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(i) repurchased 263,910 shares of its common stock on the open market for a total cost of $4.3 million, or an average price per share of $16.29, pursuant to the December 2023 Common Stock Repurchase Program, and (ii) did not repurchase any shares of its common stock pursuant to the September 2025 Common Stock Repurchase Program. During the nine months ended September 30, 2025, the Company</w:t>
      </w:r>
    </w:p>
    <w:p>
      <w:pPr>
        <w:spacing w:after="0" w:line="3" w:lineRule="exact"/>
        <w:rPr>
          <w:sz w:val="20"/>
          <w:szCs w:val="20"/>
          <w:color w:val="auto"/>
        </w:rPr>
      </w:pPr>
    </w:p>
    <w:p>
      <w:pPr>
        <w:jc w:val="both"/>
        <w:ind w:left="60" w:right="140" w:hanging="10"/>
        <w:spacing w:after="0" w:line="255" w:lineRule="auto"/>
        <w:tabs>
          <w:tab w:leader="none" w:pos="2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266,161 shares of its common stock on the open market for a total cost of $4.3 million, or an average price per share of $16.29, pursuant to the December 2023 Common Stock Repurchase Program, and (ii) did not repurchase any shares of its common stock pursuant to the September 2025 Common Stock Repurchase Program.</w:t>
      </w:r>
    </w:p>
    <w:p>
      <w:pPr>
        <w:spacing w:after="0" w:line="186" w:lineRule="exact"/>
        <w:rPr>
          <w:sz w:val="20"/>
          <w:szCs w:val="20"/>
          <w:color w:val="auto"/>
        </w:rPr>
      </w:pPr>
    </w:p>
    <w:p>
      <w:pPr>
        <w:jc w:val="both"/>
        <w:ind w:left="60" w:right="140" w:firstLine="441"/>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did not repurchase any shares of its common stock pursuant to the September 2025 Common Stock Repurchase Program. As of September 30, 2026, $5.0 million remained available for repurchases under the September 2025 Common Stock Repurchase Program.</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SERIES A PREFERRED STOCK REPURCHASE PROGRAM</w:t>
      </w:r>
    </w:p>
    <w:p>
      <w:pPr>
        <w:spacing w:after="0" w:line="227" w:lineRule="exact"/>
        <w:rPr>
          <w:sz w:val="20"/>
          <w:szCs w:val="20"/>
          <w:color w:val="auto"/>
        </w:rPr>
      </w:pPr>
    </w:p>
    <w:p>
      <w:pPr>
        <w:jc w:val="both"/>
        <w:ind w:left="60" w:right="140" w:firstLine="441"/>
        <w:spacing w:after="0" w:line="254"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Series A Preferred Stock repurchase program (the “2023 Series A Preferred Stock Repurchase Program”). Pursuant to the 2023 Series A Preferred Stock Repurchase Program, the Company was authorized to repurchase shares of its Series A Preferred Stock for a total purchase price of up to $3.0 million. During the year ended December 31, 2023, the Company repurchased 21,192 shares of Series A Preferred Stock on the open market for a total cost of $0.4 million, or an average price per share of $18.45. No shares of the Company’s Series A Preferred Stock were repurchased under the 2023 Series A Preferred Stock Repurchase Program during the nine months ended September 30, 2026 or 2025. The 2023 Series A Preferred Stock Repurchase Program was terminated subsequent to September 30, 2026. See Note 22, “Subsequent Events.”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spacing w:after="0"/>
              <w:rPr>
                <w:sz w:val="18"/>
                <w:szCs w:val="18"/>
                <w:color w:val="auto"/>
              </w:rPr>
            </w:pPr>
          </w:p>
        </w:tc>
        <w:tc>
          <w:tcPr>
            <w:tcW w:w="166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Face Value Debt  ​</w:t>
            </w:r>
          </w:p>
        </w:tc>
        <w:tc>
          <w:tcPr>
            <w:tcW w:w="8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Wtd. Avg. Rate</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ind w:left="520"/>
              <w:spacing w:after="0" w:line="183" w:lineRule="exact"/>
              <w:rPr>
                <w:sz w:val="20"/>
                <w:szCs w:val="20"/>
                <w:color w:val="auto"/>
              </w:rPr>
            </w:pPr>
            <w:r>
              <w:rPr>
                <w:rFonts w:ascii="Times New Roman" w:cs="Times New Roman" w:eastAsia="Times New Roman" w:hAnsi="Times New Roman"/>
                <w:sz w:val="18"/>
                <w:szCs w:val="18"/>
                <w:color w:val="auto"/>
              </w:rPr>
              <w:t>SOFR +</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2030</w:t>
            </w:r>
          </w:p>
        </w:tc>
        <w:tc>
          <w:tcPr>
            <w:tcW w:w="1540" w:type="dxa"/>
            <w:vAlign w:val="bottom"/>
            <w:shd w:val="clear" w:color="auto" w:fill="CCEEFF"/>
          </w:tcPr>
          <w:p>
            <w:pPr>
              <w:jc w:val="center"/>
              <w:ind w:left="10"/>
              <w:spacing w:after="0" w:line="242" w:lineRule="exact"/>
              <w:rPr>
                <w:sz w:val="20"/>
                <w:szCs w:val="20"/>
                <w:color w:val="auto"/>
              </w:rPr>
            </w:pPr>
            <w:r>
              <w:rPr>
                <w:rFonts w:ascii="Times New Roman" w:cs="Times New Roman" w:eastAsia="Times New Roman" w:hAnsi="Times New Roman"/>
                <w:sz w:val="18"/>
                <w:szCs w:val="18"/>
                <w:color w:val="auto"/>
                <w:w w:val="96"/>
              </w:rPr>
              <w:t xml:space="preserve">[1.00% - 1.60%] </w:t>
            </w:r>
            <w:r>
              <w:rPr>
                <w:rFonts w:ascii="Times New Roman" w:cs="Times New Roman" w:eastAsia="Times New Roman" w:hAnsi="Times New Roman"/>
                <w:sz w:val="26"/>
                <w:szCs w:val="26"/>
                <w:color w:val="auto"/>
                <w:w w:val="96"/>
                <w:vertAlign w:val="superscript"/>
              </w:rPr>
              <w:t>(5)</w:t>
            </w:r>
          </w:p>
        </w:tc>
        <w:tc>
          <w:tcPr>
            <w:tcW w:w="16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98"/>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2029 Term Loan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SOFR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September 2029</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[1.15% - 1.75%]</w:t>
            </w:r>
          </w:p>
        </w:tc>
        <w:tc>
          <w:tcPr>
            <w:tcW w:w="16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198"/>
        </w:trPr>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2030 Term Loan </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SOFR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2030</w:t>
            </w:r>
          </w:p>
        </w:tc>
        <w:tc>
          <w:tcPr>
            <w:tcW w:w="1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[1.15% - 1.75%]</w:t>
            </w:r>
          </w:p>
        </w:tc>
        <w:tc>
          <w:tcPr>
            <w:tcW w:w="16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198"/>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2031 Term Loan </w:t>
            </w:r>
            <w:r>
              <w:rPr>
                <w:rFonts w:ascii="Times New Roman" w:cs="Times New Roman" w:eastAsia="Times New Roman" w:hAnsi="Times New Roman"/>
                <w:sz w:val="26"/>
                <w:szCs w:val="26"/>
                <w:color w:val="auto"/>
                <w:vertAlign w:val="superscript"/>
              </w:rPr>
              <w:t>(3)</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SOFR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September 2031</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[1.15% - 1.75%]</w:t>
            </w:r>
          </w:p>
        </w:tc>
        <w:tc>
          <w:tcPr>
            <w:tcW w:w="16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98"/>
        </w:trPr>
        <w:tc>
          <w:tcPr>
            <w:tcW w:w="2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2032 Term Loan </w:t>
            </w:r>
            <w:r>
              <w:rPr>
                <w:rFonts w:ascii="Times New Roman" w:cs="Times New Roman" w:eastAsia="Times New Roman" w:hAnsi="Times New Roman"/>
                <w:sz w:val="26"/>
                <w:szCs w:val="26"/>
                <w:color w:val="auto"/>
                <w:vertAlign w:val="superscript"/>
              </w:rPr>
              <w:t>(4)</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SOFR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March 2032</w:t>
            </w:r>
          </w:p>
        </w:tc>
        <w:tc>
          <w:tcPr>
            <w:tcW w:w="1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[1.15% - 1.75%]</w:t>
            </w:r>
          </w:p>
        </w:tc>
        <w:tc>
          <w:tcPr>
            <w:tcW w:w="16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Face Value Debt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160" w:hanging="330"/>
        <w:spacing w:after="0" w:line="181"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utilized interest rate swaps on the $150.0 million 2029 Term Loan to fix SOFR and achieve a weighted average fixed swap rate of 4.10% plus the applicable spread.</w:t>
      </w:r>
    </w:p>
    <w:p>
      <w:pPr>
        <w:ind w:left="380" w:right="160" w:hanging="330"/>
        <w:spacing w:after="0" w:line="182" w:lineRule="auto"/>
        <w:tabs>
          <w:tab w:leader="none" w:pos="3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$150.0 million 2030 Term Loan balance to fix SOFR and achieve a weighted average fixed swap rate of 3.68% plus the applicable spread.</w:t>
      </w:r>
    </w:p>
    <w:p>
      <w:pPr>
        <w:ind w:left="380" w:right="160" w:hanging="330"/>
        <w:spacing w:after="0" w:line="182" w:lineRule="auto"/>
        <w:tabs>
          <w:tab w:leader="none" w:pos="3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$150.0 million 2031 Term Loan balance to fix SOFR and achieve a fixed swap rate of 3.51% plus the applicable spread.</w:t>
      </w:r>
    </w:p>
    <w:p>
      <w:pPr>
        <w:ind w:left="380" w:right="160" w:hanging="330"/>
        <w:spacing w:after="0" w:line="182" w:lineRule="auto"/>
        <w:tabs>
          <w:tab w:leader="none" w:pos="3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$150.0 million 2032 Term Loan balance to fix SOFR and achieve a weighted average fixed swap rate of 2.18% plus the applicable spread.</w:t>
      </w:r>
    </w:p>
    <w:p>
      <w:pPr>
        <w:ind w:left="380" w:right="160" w:hanging="330"/>
        <w:spacing w:after="0" w:line="185"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interest rate on the Revolving Facility also includes a facility fee of 0.20% based on the Company’s leverage ratio, as defined in the agreement, as of September 30, 2026.</w:t>
      </w: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KeyBank Credit Agreement. </w:t>
      </w:r>
      <w:r>
        <w:rPr>
          <w:rFonts w:ascii="Times New Roman" w:cs="Times New Roman" w:eastAsia="Times New Roman" w:hAnsi="Times New Roman"/>
          <w:sz w:val="18"/>
          <w:szCs w:val="18"/>
          <w:color w:val="auto"/>
        </w:rPr>
        <w:t>The Company and certain subsidiaries of the Company previously entered into a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dated as of September 30, 2024, with KeyBank National Association, as administrative agent (“KeyBank”), and certain other lenders named therein.</w:t>
      </w:r>
    </w:p>
    <w:p>
      <w:pPr>
        <w:spacing w:after="0" w:line="21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On September 29, 2026, the Company and certain subsidiaries of the Company entered into an Amended and Restated Credit Agreement with KeyBank and certain other lenders named therein (the “Amended and Restated KeyBank Credit Agreement”). The Amended and Restated KeyBank Credit Agreement provides for:</w:t>
      </w:r>
    </w:p>
    <w:p>
      <w:pPr>
        <w:spacing w:after="0" w:line="68" w:lineRule="exact"/>
        <w:rPr>
          <w:sz w:val="20"/>
          <w:szCs w:val="20"/>
          <w:color w:val="auto"/>
        </w:rPr>
      </w:pPr>
    </w:p>
    <w:p>
      <w:pPr>
        <w:ind w:left="1040" w:right="7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$400 million senior unsecured revolving credit facility maturing in September 2030, with two six-month extension options (the “Revolving Facility”);</w:t>
      </w:r>
    </w:p>
    <w:p>
      <w:pPr>
        <w:ind w:left="1040" w:right="79" w:hanging="315"/>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senior unsecured term loan credit facility maturing in September 2029 (the “2029 Term Loan”);</w:t>
      </w:r>
    </w:p>
    <w:p>
      <w:pPr>
        <w:ind w:left="1040" w:right="79" w:hanging="315"/>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senior unsecured term loan credit facility maturing in September 2030 (the “2030 Term Loan”);</w:t>
      </w:r>
    </w:p>
    <w:p>
      <w:pPr>
        <w:ind w:left="1040" w:right="79" w:hanging="315"/>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senior unsecured term loan credit facility maturing in September 2031 (the “2031 Term Loan”); and</w:t>
      </w:r>
    </w:p>
    <w:p>
      <w:pPr>
        <w:jc w:val="both"/>
        <w:ind w:left="1040" w:right="79" w:hanging="315"/>
        <w:spacing w:after="0" w:line="255"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senior unsecured term loan credit facility maturing in March 2032 (the “2032 Term Loan” and, together with the Revolving Facility, the 2029 Term Loan, the 2030 Term Loan, and the 2031 Term Loan, the “Facilities”).</w:t>
      </w:r>
    </w:p>
    <w:p>
      <w:pPr>
        <w:spacing w:after="0" w:line="22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BMO Credit Agreement. </w:t>
      </w:r>
      <w:r>
        <w:rPr>
          <w:rFonts w:ascii="Times New Roman" w:cs="Times New Roman" w:eastAsia="Times New Roman" w:hAnsi="Times New Roman"/>
          <w:sz w:val="18"/>
          <w:szCs w:val="18"/>
          <w:color w:val="auto"/>
        </w:rPr>
        <w:t>Prior to September 29, 2026, the Company was party to a credit agreement (as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and further amended, the “BMO Credit Agreement”) with Bank of Montreal (“BMO”) and the other lenders thereunder, with BMO acting as the administrative agent for the lenders thereunder. The BMO Credit Agreement provided for:</w:t>
      </w:r>
    </w:p>
    <w:p>
      <w:pPr>
        <w:spacing w:after="0" w:line="74"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 million unsecured revolving credit facility that was scheduled to mature on January 31, 2027;</w:t>
      </w:r>
    </w:p>
    <w:p>
      <w:pPr>
        <w:spacing w:after="0" w:line="27" w:lineRule="exact"/>
        <w:rPr>
          <w:rFonts w:ascii="Times New Roman" w:cs="Times New Roman" w:eastAsia="Times New Roman" w:hAnsi="Times New Roman"/>
          <w:sz w:val="18"/>
          <w:szCs w:val="18"/>
          <w:color w:val="auto"/>
        </w:rPr>
      </w:pPr>
    </w:p>
    <w:p>
      <w:pPr>
        <w:ind w:left="1040" w:right="41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 million unsecured term loan that was scheduled to mature on January 31, 2027 (the “2027 Term Loan”); and</w:t>
      </w:r>
    </w:p>
    <w:p>
      <w:pPr>
        <w:ind w:left="1040" w:right="419" w:hanging="315"/>
        <w:spacing w:after="0" w:line="26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 million unsecured term loan that was scheduled to mature on January 31, 2028 (the “2028 Term Loan”).</w:t>
      </w:r>
    </w:p>
    <w:p>
      <w:pPr>
        <w:spacing w:after="0" w:line="20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On September 29, 2026, in connection with the Company’s entry into the Amended and Restated KeyBank Credit Agreement, the Company repaid all obligations outstanding under the BMO Credit Agreement. As a result, the BMO Credit Agreement was terminated, and the obligations thereunder were discharged.</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terms of the Amended and Restated KeyBank Credit Agreement include, among other things:</w:t>
      </w:r>
    </w:p>
    <w:p>
      <w:pPr>
        <w:spacing w:after="0" w:line="117" w:lineRule="exact"/>
        <w:rPr>
          <w:sz w:val="20"/>
          <w:szCs w:val="20"/>
          <w:color w:val="auto"/>
        </w:rPr>
      </w:pPr>
    </w:p>
    <w:p>
      <w:pPr>
        <w:ind w:left="1160" w:right="79" w:hanging="327"/>
        <w:spacing w:after="0" w:line="261"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the Revolving Facility in the amount of $400 million which matures on September 29, 2030, with two six-month extension options;</w:t>
      </w:r>
    </w:p>
    <w:p>
      <w:pPr>
        <w:jc w:val="both"/>
        <w:ind w:left="1160" w:right="79" w:hanging="327"/>
        <w:spacing w:after="0" w:line="25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Revolving Facility accrues at a rate ranging from SOFR plus 100 basis points to SOFR plus 160 basis points, based on the Company’s total indebtedness as a percentage of the Company’s total asset value, as defined in the Amended and Restated KeyBank Credit Agreement. The Company may utilize daily simple SOFR or term SOFR, at its election;</w:t>
      </w:r>
    </w:p>
    <w:p>
      <w:pPr>
        <w:spacing w:after="0" w:line="1" w:lineRule="exact"/>
        <w:rPr>
          <w:rFonts w:ascii="Times New Roman" w:cs="Times New Roman" w:eastAsia="Times New Roman" w:hAnsi="Times New Roman"/>
          <w:sz w:val="18"/>
          <w:szCs w:val="18"/>
          <w:color w:val="auto"/>
        </w:rPr>
      </w:pPr>
    </w:p>
    <w:p>
      <w:pPr>
        <w:ind w:left="1160" w:right="79" w:hanging="327"/>
        <w:spacing w:after="0" w:line="25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upsize of the 2029 Term Loan from $125 million to $150 million, with a maturity date of September 30, 2029;</w:t>
      </w:r>
    </w:p>
    <w:p>
      <w:pPr>
        <w:ind w:left="1160" w:right="79" w:hanging="327"/>
        <w:spacing w:after="0" w:line="25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upsize of the 2030 Term Loan from $125 million to $150 million, with a maturity date of September 25, 2030;</w:t>
      </w:r>
    </w:p>
    <w:p>
      <w:pPr>
        <w:ind w:left="1160" w:hanging="327"/>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the 2031 Term Loan in the amount of $150 million that matures on September 29, 2031;</w:t>
      </w:r>
    </w:p>
    <w:p>
      <w:pPr>
        <w:spacing w:after="0" w:line="9" w:lineRule="exact"/>
        <w:rPr>
          <w:rFonts w:ascii="Times New Roman" w:cs="Times New Roman" w:eastAsia="Times New Roman" w:hAnsi="Times New Roman"/>
          <w:sz w:val="18"/>
          <w:szCs w:val="18"/>
          <w:color w:val="auto"/>
        </w:rPr>
      </w:pPr>
    </w:p>
    <w:p>
      <w:pPr>
        <w:ind w:left="1160" w:hanging="327"/>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the 2032 Term Loan in the amount of $150 million that matures on March 29, 2032;</w:t>
      </w:r>
    </w:p>
    <w:p>
      <w:pPr>
        <w:spacing w:after="0" w:line="9" w:lineRule="exact"/>
        <w:rPr>
          <w:rFonts w:ascii="Times New Roman" w:cs="Times New Roman" w:eastAsia="Times New Roman" w:hAnsi="Times New Roman"/>
          <w:sz w:val="18"/>
          <w:szCs w:val="18"/>
          <w:color w:val="auto"/>
        </w:rPr>
      </w:pPr>
    </w:p>
    <w:p>
      <w:pPr>
        <w:jc w:val="both"/>
        <w:ind w:left="1160" w:right="79" w:hanging="327"/>
        <w:spacing w:after="0" w:line="25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under the 2029 Term Loan, the 2030 Term Loan, the 2031 Term Loan, and the 2032 Term Loan accrues at a rate ranging from SOFR plus 115 basis points to SOFR plus 175 basis points, based on the Company’s total indebtedness as a percentage of the Company’s total asset value, as defined in the Amended and Restated KeyBank Credit Agreement. The Company may utilize daily simple SOFR or term SOFR, at its election; and</w:t>
      </w:r>
    </w:p>
    <w:p>
      <w:pPr>
        <w:spacing w:after="0" w:line="1" w:lineRule="exact"/>
        <w:rPr>
          <w:rFonts w:ascii="Times New Roman" w:cs="Times New Roman" w:eastAsia="Times New Roman" w:hAnsi="Times New Roman"/>
          <w:sz w:val="18"/>
          <w:szCs w:val="18"/>
          <w:color w:val="auto"/>
        </w:rPr>
      </w:pPr>
    </w:p>
    <w:p>
      <w:pPr>
        <w:ind w:left="1160" w:right="79" w:hanging="327"/>
        <w:spacing w:after="0" w:line="260"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accordion feature which allows for total borrowings under the Facilities, in the aggregate, to be increased to an amount not to exceed $1.5 billion.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2026, the commitment level under the Revolving Facility was $400.0 million and the Company had an outstanding balance of $123.0 million. The available borrowing capacity under the Revolving Facility, subject to borrowing base restrictions, was $245.8 million as of September 30, 2026.</w:t>
      </w:r>
    </w:p>
    <w:p>
      <w:pPr>
        <w:spacing w:after="0" w:line="21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is subject to customary restrictive covenants under the Amended and Restated KeyBank Credit Agreement, including, but not limited to, limitations on the Company’s ability to: (i) incur indebtedness; (ii) make certain investments; (iii) incur certain liens; (iv) engage in certain affiliate transactions; and (v) engage in certain major transactions such as mergers. In addition, the Company is subject to various financial maintenance covenants as described in the Amended and Restated KeyBank Credit Agreement.</w:t>
      </w:r>
    </w:p>
    <w:p>
      <w:pPr>
        <w:spacing w:after="0" w:line="222"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Mortgage Note Payable</w:t>
      </w:r>
      <w:r>
        <w:rPr>
          <w:rFonts w:ascii="Times New Roman" w:cs="Times New Roman" w:eastAsia="Times New Roman" w:hAnsi="Times New Roman"/>
          <w:sz w:val="18"/>
          <w:szCs w:val="18"/>
          <w:color w:val="auto"/>
        </w:rPr>
        <w:t>. On March 3, 2022, in connection with the acquisition of Price Plaza Shopping Center,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an existing $17.8 million secured fixed-rate mortgage note payable, which bears interest at a fixed rate of 4.06% and matures in August 2026. At maturity in August 2026, the Company repaid the $17.8 million mortgage note.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3"/>
          </w:tcPr>
          <w:p>
            <w:pPr>
              <w:jc w:val="right"/>
              <w:ind w:right="136"/>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Facility</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2027 Term Loan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Term Loan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2029 Term Loan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Term Loan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2031 Term Loan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2032 Term Loan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 Payable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Costs, net of</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616,345</w:t>
            </w:r>
          </w:p>
        </w:tc>
        <w:tc>
          <w:tcPr>
            <w:tcW w:w="18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r>
      <w:tr>
        <w:trPr>
          <w:trHeight w:val="20"/>
        </w:trPr>
        <w:tc>
          <w:tcPr>
            <w:tcW w:w="2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September 30, 2026 will be required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20" w:type="dxa"/>
            <w:vAlign w:val="bottom"/>
            <w:tcBorders>
              <w:bottom w:val="single" w:sz="8" w:color="CCEEFF"/>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273,000</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w:t>
            </w:r>
          </w:p>
        </w:tc>
        <w:tc>
          <w:tcPr>
            <w:tcW w:w="22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723,000</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long-term debt as of September 30, 2026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94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723,000</w:t>
            </w:r>
          </w:p>
        </w:tc>
      </w:tr>
      <w:tr>
        <w:trPr>
          <w:trHeight w:val="21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1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717,621</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42" w:lineRule="auto"/>
        <w:rPr>
          <w:sz w:val="20"/>
          <w:szCs w:val="20"/>
          <w:color w:val="auto"/>
        </w:rPr>
      </w:pPr>
      <w:r>
        <w:rPr>
          <w:rFonts w:ascii="Times New Roman" w:cs="Times New Roman" w:eastAsia="Times New Roman" w:hAnsi="Times New Roman"/>
          <w:sz w:val="18"/>
          <w:szCs w:val="18"/>
          <w:color w:val="auto"/>
        </w:rPr>
        <w:t>In addition to the $5.4 million of financing costs, net of accumulated amortization included in the table above, as of September 30, 2026, the Company also had financing costs, net of accumulated amortization related to the Revolving Facility of $4.1 million which is included in other assets on the consolidated balance sheets. These costs are amortized on a straight-line basis over the term of the Revolving Facility and are included in interest expense in the Company’s accompanying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22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70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Interest Expense </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w:t>
            </w:r>
          </w:p>
        </w:tc>
      </w:tr>
      <w:tr>
        <w:trPr>
          <w:trHeight w:val="198"/>
        </w:trPr>
        <w:tc>
          <w:tcPr>
            <w:tcW w:w="27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198"/>
        </w:trPr>
        <w:tc>
          <w:tcPr>
            <w:tcW w:w="27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Discount on</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0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7,934</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19,828</w:t>
            </w:r>
          </w:p>
        </w:tc>
      </w:tr>
      <w:tr>
        <w:trPr>
          <w:trHeight w:val="196"/>
        </w:trPr>
        <w:tc>
          <w:tcPr>
            <w:tcW w:w="2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7,805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16,950</w:t>
            </w: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3"/>
        </w:trPr>
        <w:tc>
          <w:tcPr>
            <w:tcW w:w="22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144" w:lineRule="exact"/>
        <w:rPr>
          <w:sz w:val="20"/>
          <w:szCs w:val="20"/>
          <w:color w:val="auto"/>
        </w:rPr>
      </w:pPr>
    </w:p>
    <w:p>
      <w:pPr>
        <w:ind w:left="60" w:right="79" w:hanging="10"/>
        <w:spacing w:after="0" w:line="195" w:lineRule="auto"/>
        <w:tabs>
          <w:tab w:leader="none" w:pos="33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Net of capitalized interest of $0.1 million and $0.4 million during the three and nine months ended September 30, 2026, respectively, and $0.1 million capitalized during the nine months ended September 30, 2025.</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September 30, 2026 and December 31, 2025.</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INTEREST RATE SWAPS</w:t>
      </w:r>
    </w:p>
    <w:p>
      <w:pPr>
        <w:spacing w:after="0" w:line="121"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2026 and 2025. Accordingly, the changes in fair value on the interest rate swaps have been classified in accumulated other comprehensive income (loss). The fair value of the interest rate swap agreements is included in other assets and accrued and other liabilities, respectively, on the consolidated balance sheets. Information related to the Company’s interest rate swap agreements as of September 30, 2026 is presented below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8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Fair Value as of</w:t>
            </w:r>
          </w:p>
        </w:tc>
      </w:tr>
      <w:tr>
        <w:trPr>
          <w:trHeight w:val="246"/>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60" w:type="dxa"/>
            <w:vAlign w:val="bottom"/>
            <w:gridSpan w:val="2"/>
          </w:tcPr>
          <w:p>
            <w:pPr>
              <w:jc w:val="center"/>
              <w:ind w:right="160"/>
              <w:spacing w:after="0" w:line="246" w:lineRule="exact"/>
              <w:rPr>
                <w:sz w:val="20"/>
                <w:szCs w:val="20"/>
                <w:color w:val="auto"/>
              </w:rPr>
            </w:pPr>
            <w:r>
              <w:rPr>
                <w:rFonts w:ascii="Times New Roman" w:cs="Times New Roman" w:eastAsia="Times New Roman" w:hAnsi="Times New Roman"/>
                <w:sz w:val="18"/>
                <w:szCs w:val="18"/>
                <w:b w:val="1"/>
                <w:bCs w:val="1"/>
                <w:color w:val="auto"/>
                <w:w w:val="95"/>
              </w:rPr>
              <w:t xml:space="preserve">fixed rate </w:t>
            </w:r>
            <w:r>
              <w:rPr>
                <w:rFonts w:ascii="Times New Roman" w:cs="Times New Roman" w:eastAsia="Times New Roman" w:hAnsi="Times New Roman"/>
                <w:sz w:val="26"/>
                <w:szCs w:val="26"/>
                <w:b w:val="1"/>
                <w:bCs w:val="1"/>
                <w:color w:val="auto"/>
                <w:w w:val="95"/>
                <w:vertAlign w:val="superscript"/>
              </w:rPr>
              <w:t>(1)</w:t>
            </w:r>
          </w:p>
        </w:tc>
        <w:tc>
          <w:tcPr>
            <w:tcW w:w="12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191"/>
        </w:trPr>
        <w:tc>
          <w:tcPr>
            <w:tcW w:w="1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9/30/2022-</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1/31/2028-</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r>
      <w:tr>
        <w:trPr>
          <w:trHeight w:val="23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Term Loan</w:t>
            </w: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Place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9/28/2029</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198"/>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4/30/2025-</w:t>
            </w:r>
          </w:p>
        </w:tc>
        <w:tc>
          <w:tcPr>
            <w:tcW w:w="16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1/31/2030-</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Term Loan</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Place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9/30/2026</w:t>
            </w:r>
          </w:p>
        </w:tc>
        <w:tc>
          <w:tcPr>
            <w:tcW w:w="1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9/25/2030</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r>
      <w:tr>
        <w:trPr>
          <w:trHeight w:val="198"/>
        </w:trPr>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1/31/2023-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1/31/2030-</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Term Loan</w:t>
            </w: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Place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9/29/2031</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r>
      <w:tr>
        <w:trPr>
          <w:trHeight w:val="21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 Term Loan</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3/10/2031</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9/29/2031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2/1/2024-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1/31/2027-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Term Loan</w:t>
            </w: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Place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3/29/2024</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198"/>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1/29/2027-</w:t>
            </w:r>
          </w:p>
        </w:tc>
        <w:tc>
          <w:tcPr>
            <w:tcW w:w="16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1/30/2032-</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2032 Term Loan</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1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1/31/2033</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79" w:hanging="330"/>
        <w:spacing w:after="0"/>
        <w:tabs>
          <w:tab w:leader="none" w:pos="3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weighted average fixed rate excludes the applicable spread of 1.15%-1.75%. The disclosed effective dates represent the earliest and latest effective dates and the disclosed maturity dates reflect the earliest and latest maturity dates within each hedged item group as of September 30, 2026.</w:t>
      </w:r>
    </w:p>
    <w:p>
      <w:pPr>
        <w:spacing w:after="0" w:line="173"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September 30, 2026, there were no events of default related to the Company’s interest rate swap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16. ACCRUED AND OTHER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20" w:type="dxa"/>
            <w:vAlign w:val="bottom"/>
            <w:gridSpan w:val="2"/>
          </w:tcPr>
          <w:p>
            <w:pPr>
              <w:jc w:val="right"/>
              <w:ind w:right="56"/>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Property Taxes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Reserve for Tenant Improvements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Construction and Other Reserves from Commercial Loans and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09"/>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Reserve for Tenant Improvements. </w:t>
      </w:r>
      <w:r>
        <w:rPr>
          <w:rFonts w:ascii="Times New Roman" w:cs="Times New Roman" w:eastAsia="Times New Roman" w:hAnsi="Times New Roman"/>
          <w:sz w:val="18"/>
          <w:szCs w:val="18"/>
          <w:color w:val="auto"/>
        </w:rPr>
        <w:t>In connection with recent acquisitions, the Company received an aggregate of $3.9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the sellers of certain properties for tenant improvement allowances, leasing commissions and other capital improvements. These amounts are included in accrued and other liabilities on the consolidated balance sheets. Through September 30, 2026, payments totaling $0.9 million were made leaving a remaining reserve for tenant improvements of $3.0 million.</w:t>
      </w:r>
    </w:p>
    <w:p>
      <w:pPr>
        <w:spacing w:after="0" w:line="18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Construction and Other Reserves from Commercial Loans and Investments</w:t>
      </w:r>
      <w:r>
        <w:rPr>
          <w:rFonts w:ascii="Times New Roman" w:cs="Times New Roman" w:eastAsia="Times New Roman" w:hAnsi="Times New Roman"/>
          <w:sz w:val="18"/>
          <w:szCs w:val="18"/>
          <w:color w:val="auto"/>
        </w:rPr>
        <w:t>. In connection with certain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commercial loan investments, the borrower has deposited real estate tax and/or construction reserves in accounts held by the Company. Those account balances are included in restricted cash on the Company’s consolidated balance sheets with the corresponding liability recorded in accrued and other liabilities as seen above.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17. DEFERRED REVENUE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Deferred revenue consisted of the following (in thousands):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gridSpan w:val="2"/>
          </w:tcPr>
          <w:p>
            <w:pPr>
              <w:jc w:val="right"/>
              <w:ind w:right="76"/>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16"/>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Reserve from Commercial Loans and Investments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Contributions</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09"/>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Interest Reserve from Commercial Loans and Investments</w:t>
      </w:r>
      <w:r>
        <w:rPr>
          <w:rFonts w:ascii="Times New Roman" w:cs="Times New Roman" w:eastAsia="Times New Roman" w:hAnsi="Times New Roman"/>
          <w:sz w:val="18"/>
          <w:szCs w:val="18"/>
          <w:color w:val="auto"/>
        </w:rPr>
        <w:t>. In connection with certain of the Company’s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investments, the borrower has deposited interest reserves in accounts held by the Company. Those account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18.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STOCK-BASED COMPENSATION</w:t>
      </w:r>
    </w:p>
    <w:p>
      <w:pPr>
        <w:spacing w:after="0" w:line="22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A summary of share activity for all equity classified stock compensation during the nine months ended September 30, 2026 is presented below.</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5"/>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at 1/1/2026</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Shares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at 9/30/26</w:t>
            </w:r>
          </w:p>
        </w:tc>
      </w:tr>
      <w:tr>
        <w:trPr>
          <w:trHeight w:val="185"/>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Market Condition Vesting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121,053</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(69,558)</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314,382</w:t>
            </w:r>
          </w:p>
        </w:tc>
      </w:tr>
      <w:tr>
        <w:trPr>
          <w:trHeight w:val="189"/>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Classified - Three Year Vest Restricted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203,252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134,642</w:t>
            </w: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(94,648)</w:t>
            </w: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241,543</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466,139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255,695</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(164,206)</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555,925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recognized in the financial statements for stock-based compensation are as follows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7"/>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6"/>
                <w:szCs w:val="16"/>
                <w:color w:val="auto"/>
              </w:rPr>
            </w:pPr>
          </w:p>
        </w:tc>
      </w:tr>
      <w:tr>
        <w:trPr>
          <w:trHeight w:val="238"/>
        </w:trPr>
        <w:tc>
          <w:tcPr>
            <w:tcW w:w="4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Share-Based Plans Charged Against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EQUITY-CLASSIFIED STOCK COMPENSATION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 – Peer Group Market Condition Vesting</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Performance shares have been granted to certain employees under the Company’s 2010 Equity Incentive Plan (as amended and/or restated from time to time, the “2010 Plan”). The performance share awards entitle the recipient to receive, upon the vesting thereof, shares of common stock of the Company equal to (a) in the case of performance share awards granted in 2024 and 2025, between 0% and 150% of the number of performance shares awarded, and (b) in the case of performance share awards granted in 2026, between 0% and 200%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121,053 performance shares during the nine months ended September 30, 2026.</w:t>
      </w:r>
    </w:p>
    <w:p>
      <w:pPr>
        <w:spacing w:after="0" w:line="151"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6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$2.9 million of unrecognized compensation cost, adjusted for estimated forfeitures, related to the non-vested performance share awards, which will be recognized over a remaining weighted average period of 1.9 years.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nine months ended September 30, 2026 is presented below:</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Shares With Market Conditions</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121,053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(69,558)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314,382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18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134,642 shares of restricted Company common stock during the nine months ended September 30, 2026.</w:t>
      </w:r>
    </w:p>
    <w:p>
      <w:pPr>
        <w:spacing w:after="0" w:line="143"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spacing w:after="0" w:line="135"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$3.1 million of unrecognized compensation cost, adjusted for estimated forfeitures, related to the non-vested restricted share awards, which will be recognized over a remaining weighted average period of 1.9 years.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nine months ended September 30, 2026 is presented below:</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Wtd. Avg. Fair</w:t>
            </w: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Value Per Share</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134,642</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NON-EMPLOYEE DIRECTOR STOCK COMPENSATION</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Each member of the Company’s Board of Directors has the option to receive his or her annual cash retainer and applicable committee retainers in shares of Company common stock rather than cash. The number of shares awarded to the directors making such election is calculated quarterly by dividing (i) the sum of the amount of the quarterly retainer payment due to such director, by (ii) the trailing 20-day average price of the Company’s common stock as of the last day of the quarter, rounded down to the nearest whole number of shares.</w:t>
      </w:r>
    </w:p>
    <w:p>
      <w:pPr>
        <w:spacing w:after="0" w:line="14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Each non-employee director serving as of the beginning of each calendar year shall receive an annual award of the Company’s common stock. The value of such award totaled $62,500 for each of the nine month periods ended September 30, 2026 and 2025 (the “Annual Award”). The number of shares awarded is calculated based on the trailing 20-day average price of the Company’s common stock as of the date two business days prior to the date of the award, rounded down to the nearest whole number of shares.</w:t>
      </w:r>
    </w:p>
    <w:p>
      <w:pPr>
        <w:spacing w:after="0" w:line="156" w:lineRule="exact"/>
        <w:rPr>
          <w:sz w:val="20"/>
          <w:szCs w:val="20"/>
          <w:color w:val="auto"/>
        </w:rPr>
      </w:pPr>
    </w:p>
    <w:p>
      <w:pPr>
        <w:jc w:val="both"/>
        <w:ind w:left="60" w:right="59" w:firstLine="441"/>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2026 and 2025, the expense recognized for the value of the Company’s common stock received by non-employee directors totaled $0.6 million, or 27,550 shares, and $0.6 million, or 29,653 shares, respectively. The expense recognized includes the Annual Award received during the first quarter of each respective year, which totaled $0.3 million during each of the nine month periods ended September 30, 2026 and 2025,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INCOME TAXES</w:t>
      </w:r>
    </w:p>
    <w:p>
      <w:pPr>
        <w:spacing w:after="0" w:line="229"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years ending December 31, 2026 and 2025, the Company owns one TRS, which is subject to federal and applicable state income taxation. The TRS is required to file a separate corporate income tax return.</w:t>
      </w:r>
    </w:p>
    <w:p>
      <w:pPr>
        <w:spacing w:after="0" w:line="195"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 Expenditures</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 has committed to fund the following capital improvements. The improvements, which are related to several properties, are estimated to be generally completed within twelve months. These commitments, as of September 30, 2026, are as follows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37,853</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Funded</w:t>
            </w:r>
          </w:p>
        </w:tc>
        <w:tc>
          <w:tcPr>
            <w:tcW w:w="4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Commitment</w:t>
            </w:r>
          </w:p>
        </w:tc>
        <w:tc>
          <w:tcPr>
            <w:tcW w:w="4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45"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20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unfunded loan commitments under three construction loans as described in Note 4, “Commercial Loans and Investments.” The unfunded portion of these construction loans totaled $36.2 million as of September 30,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BUSINESS SEGMENT DATA</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operates in three primary business segments: income properties, management services, and commercial loans and investments. The management services segment consists of the revenue generated from managing PINE, the Portfolio Management Agreement and a subsurface management agreement, as described further in Note 5, “Management Services Business.”</w:t>
      </w:r>
    </w:p>
    <w:p>
      <w:pPr>
        <w:spacing w:after="0" w:line="180"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Our income property operations consist of income-producing properties, and our business plan is focused on investing in additional income-producing properties. Our income property operations accounted for 80.9% and 87.2% of our identifiable assets as of September 30, 2026 and December 31, 2025, respectively. Our income property operations accounted for 85.0% and 88.6% of our consolidated revenues for the nine months ended September 30, 2026 and 2025, respectively. Our management fee income consists of the management fees earned for the management of PINE, the Portfolio Management Agreement and a subsurface management agreement during the nine months ended September 30, 2026 and 2025. As of September 30, 2026, our commercial loan and investment portfolio consisted of five commercial loan investments and three preferred equity investments which are classified as commercial loan investments.</w:t>
      </w:r>
    </w:p>
    <w:p>
      <w:pPr>
        <w:spacing w:after="0" w:line="19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September 30, 2026 is as follows (in thousands):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Management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38,451</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 for Reportable Segments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46,914</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35,333</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Provision for Impairment and Adjustment to CECL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r>
      <w:tr>
        <w:trPr>
          <w:trHeight w:val="178"/>
        </w:trPr>
        <w:tc>
          <w:tcPr>
            <w:tcW w:w="39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39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Income From Operations for Reportable</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r>
      <w:tr>
        <w:trPr>
          <w:trHeight w:val="216"/>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September 30, 2025 is as follows (in thousands):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Management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 for Reportable Segments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37,757</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Provision for Impairment and Adjustment to CECL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r>
      <w:tr>
        <w:trPr>
          <w:trHeight w:val="178"/>
        </w:trPr>
        <w:tc>
          <w:tcPr>
            <w:tcW w:w="39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13,502</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174"/>
        </w:trPr>
        <w:tc>
          <w:tcPr>
            <w:tcW w:w="39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Income From Operations for Reportable</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w:t>
            </w:r>
          </w:p>
        </w:tc>
      </w:tr>
      <w:tr>
        <w:trPr>
          <w:trHeight w:val="216"/>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Before Income Tax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nine months ended September 30, 2026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Management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112,167</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 for Reportable Segments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131,918</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(32,875)</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99,043</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Provision for Impairment and Adjustment to CECL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(49,145)</w:t>
            </w:r>
          </w:p>
        </w:tc>
      </w:tr>
      <w:tr>
        <w:trPr>
          <w:trHeight w:val="178"/>
        </w:trPr>
        <w:tc>
          <w:tcPr>
            <w:tcW w:w="39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48,781</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174"/>
        </w:trPr>
        <w:tc>
          <w:tcPr>
            <w:tcW w:w="39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Income From Operations for Reportable</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50,888</w:t>
            </w:r>
          </w:p>
        </w:tc>
      </w:tr>
      <w:tr>
        <w:trPr>
          <w:trHeight w:val="216"/>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Before Income Tax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9"/>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nine months ended September 30, 2025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Management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98,486</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98,486</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 for Reportable Segments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111,206</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w:t>
            </w:r>
          </w:p>
        </w:tc>
      </w:tr>
      <w:tr>
        <w:trPr>
          <w:trHeight w:val="210"/>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82,863</w:t>
            </w: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Provision for Impairment and Adjustment to CECL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(44,536)</w:t>
            </w:r>
          </w:p>
        </w:tc>
      </w:tr>
      <w:tr>
        <w:trPr>
          <w:trHeight w:val="178"/>
        </w:trPr>
        <w:tc>
          <w:tcPr>
            <w:tcW w:w="39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w:t>
            </w: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174"/>
        </w:trPr>
        <w:tc>
          <w:tcPr>
            <w:tcW w:w="39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Income From Operations for Reportable</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39,632</w:t>
            </w:r>
          </w:p>
        </w:tc>
      </w:tr>
      <w:tr>
        <w:trPr>
          <w:trHeight w:val="216"/>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(19,828)</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9"/>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of each segment for the three and nine months ended September 30, 2026 and 2025 are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5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74,438</w:t>
            </w:r>
          </w:p>
        </w:tc>
        <w:tc>
          <w:tcPr>
            <w:tcW w:w="1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225,292</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87,187</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372,763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100,006</w:t>
            </w: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 of each segment as of September 30, 2026 and December 31, 2025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5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0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1,209,267</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1,102,631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46,988</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40,677</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1,495,336</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1,263,902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Identifiable assets by segment are those assets that are used in the Company’s operations in each segment. Corporate and other assets consist primarily of cash and restricted cash, property, plant, and equipment related to the other operations, as well as the general and corporate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SUBSEQUENT EVENTS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October 27, 2026, the date the consolidated financial statements were issued.</w:t>
      </w:r>
    </w:p>
    <w:p>
      <w:pPr>
        <w:spacing w:after="0" w:line="162" w:lineRule="exact"/>
        <w:rPr>
          <w:sz w:val="20"/>
          <w:szCs w:val="20"/>
          <w:color w:val="auto"/>
        </w:rPr>
      </w:pPr>
    </w:p>
    <w:p>
      <w:pPr>
        <w:jc w:val="both"/>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On October 5, 2026, the Company acquired Summit Woods Crossing, a 545,000-square-foot open-air power center situated on 57 acres in the Kansas City, Missouri metro area, for $103.0 million, or $189 per square foot. The property is anchored by Lowe’s, Kohl’s, Best Buy, TJ Maxx, and Total Wine, with an on-site SuperTarget not owned by the Company.</w:t>
      </w:r>
    </w:p>
    <w:p>
      <w:pPr>
        <w:spacing w:after="0" w:line="15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15, 2026, the Company completed a $32.0 million preferred equity investment in a joint venture that owns a 10-property shopping center portfolio, fully funded at close, with an initial yield of 17.0% (including 7.0% paid-in-kind interest) and a 36-month term.</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October 20, 2026, the Company’s Board of Directors approved a Series A Preferred Stock repurchase program (the “2026 Series A Preferred Stock Repurchase Program”). Pursuant to the 2026 Series A Preferred Stock Repurchase Program, the Company may repurchase shares of its Series A Preferred Stock for a total purchase price of up to $5.0 million. Shares may be purchased under the 2026 Series A Preferred Stock Repurchase Program in open market transactions, including through block purchases, through privately negotiated transactions or pursuant to any trading plan that may be adopted in accordance with Rule 10b5-1 under the Exchange Act. The 2026 Series A Preferred Stock Repurchase Program does not obligate the Company to acquire any particular amount of shares of its Series A Preferred Stock and may be modified or suspended. As a result of the 2026 Series A Preferred Stock Repurchase Program, the prior 2023 Series A Preferred Stock Repurchase Program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492"/>
        <w:spacing w:after="0" w:line="252" w:lineRule="auto"/>
        <w:rPr>
          <w:sz w:val="20"/>
          <w:szCs w:val="20"/>
          <w:color w:val="auto"/>
        </w:rPr>
      </w:pPr>
      <w:r>
        <w:rPr>
          <w:rFonts w:ascii="Times New Roman" w:cs="Times New Roman" w:eastAsia="Times New Roman" w:hAnsi="Times New Roman"/>
          <w:sz w:val="18"/>
          <w:szCs w:val="18"/>
          <w:color w:val="auto"/>
        </w:rPr>
        <w:t>Statements contained in this Quarterly Report on Form 10-Q that are not historical facts are forward-looking statements within the meaning of Section 27A of the Securities Act of 1933, as amended (the “Securities Act”),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4" w:lineRule="exact"/>
        <w:rPr>
          <w:sz w:val="20"/>
          <w:szCs w:val="20"/>
          <w:color w:val="auto"/>
        </w:rPr>
      </w:pP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ownership of commercial real estate that could affect the performance and value of our properties;</w:t>
      </w: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our tenants and borrowers successfully operating their businesses, and their failure to do so could materially and adversely affect us;</w:t>
      </w: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that traditional retail tenants face from e-commerce retail sales, or the integration of brick and mortar stores with e-commerce retail operators, could adversely affect our business;</w:t>
      </w: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the acquisition of income properties and more established entities or other investors may be able to compete more effectively for acquisition opportunities than we can;</w:t>
      </w:r>
    </w:p>
    <w:p>
      <w:pPr>
        <w:ind w:left="700" w:hanging="209"/>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asset acquisitions or dispositions;</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revenues from our income property portfolio or certain tenants or borrowers would adversely impact our results of operations and cash flows;</w:t>
      </w:r>
    </w:p>
    <w:p>
      <w:pPr>
        <w:jc w:val="both"/>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downturn in economic conditions could adversely impact our business, particularly with regard to our ability to maintain revenues from our income-producing assets;</w:t>
      </w:r>
    </w:p>
    <w:p>
      <w:pPr>
        <w:jc w:val="both"/>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our investment strategy is focused on investing in commercial loans and investments which may involve credit risk or the risk that our borrowers or other counterparties will fail to pay scheduled contractual payments to us when due;</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when a borrower defaults on a loan and the value of the underlying collateral is less than the amount due;</w:t>
      </w:r>
    </w:p>
    <w:p>
      <w:pPr>
        <w:ind w:left="700" w:hanging="209"/>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real estate investments are generally illiquid;</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obtain debt or equity capital on favorable terms, if at all, or additional borrowings may impact our liquidity or ability to monetize any assets securing such borrowings;</w:t>
      </w:r>
    </w:p>
    <w:p>
      <w:pPr>
        <w:ind w:left="680" w:right="79" w:hanging="198"/>
        <w:spacing w:after="0" w:line="26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and we may not have sufficient cash flow from our business to service or pay our debt;</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right="79" w:hanging="198"/>
        <w:spacing w:after="0" w:line="26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properties could be adversely affected in the event of natural disasters, pandemics, or other significant disruptions;</w:t>
      </w:r>
    </w:p>
    <w:p>
      <w:pPr>
        <w:ind w:left="680" w:right="79" w:hanging="198"/>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environmental problems which require remediation or the incurrence of significant costs to resolve, which could adversely impact our financial condition, results of operations, and cash flows;</w:t>
      </w:r>
    </w:p>
    <w:p>
      <w:pPr>
        <w:jc w:val="both"/>
        <w:ind w:left="680" w:right="79" w:hanging="198"/>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qualified as a real estate investment trust (“REIT”) for U.S. federal income tax purposes would cause us to be taxed as a regular corporation, which would substantially reduce funds available for distribution to stockholders;</w:t>
      </w:r>
    </w:p>
    <w:p>
      <w:pPr>
        <w:spacing w:after="0" w:line="1"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REIT requirements could limit our financial flexibility;</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consistent with the REIT requirements, and expectations as to timing and amounts of such dividends;</w:t>
      </w:r>
    </w:p>
    <w:p>
      <w:pPr>
        <w:ind w:left="700" w:hanging="209"/>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to revoke our REIT status without stockholder approval;</w:t>
      </w:r>
    </w:p>
    <w:p>
      <w:pPr>
        <w:spacing w:after="0" w:line="9"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changes in U.S. federal and state income tax laws, including changes to the REIT requirements;</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including unstable macroeconomic conditions due to, among other things, political unrest and economic uncertainty due to terrorism or war, inflation, higher interest rates, tariffs and international trade policies and distress in the banking sector; and</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3"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epidemic or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2025), “Quantitative and Qualitative Disclosures about Market Risk” (Part I, Item 3 of this Quarterly Report on Form 10-Q), and “Management’s Discussion and Analysis of Financial Condition and Results of Operations” (Part I, Item 2 of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59" w:firstLine="441"/>
        <w:spacing w:after="0" w:line="289" w:lineRule="auto"/>
        <w:rPr>
          <w:sz w:val="20"/>
          <w:szCs w:val="20"/>
          <w:color w:val="auto"/>
        </w:rPr>
      </w:pPr>
      <w:r>
        <w:rPr>
          <w:rFonts w:ascii="Times New Roman" w:cs="Times New Roman" w:eastAsia="Times New Roman" w:hAnsi="Times New Roman"/>
          <w:sz w:val="17"/>
          <w:szCs w:val="17"/>
          <w:color w:val="auto"/>
        </w:rPr>
        <w:t>As of September 30, 2026, we own and manage, sometimes utilizing third-party property management companies, 22 commercial real estate properties in eight states in the United States, comprising 6.6 million square feet of gross leasable space. In addition to our income property portfolio, as of September 30, 2026, our business included the following:</w:t>
      </w:r>
    </w:p>
    <w:p>
      <w:pPr>
        <w:spacing w:after="0" w:line="15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u w:val="single" w:color="auto"/>
          <w:color w:val="auto"/>
        </w:rPr>
        <w:t>Management Services:</w:t>
      </w:r>
      <w:r>
        <w:rPr>
          <w:rFonts w:ascii="Times New Roman" w:cs="Times New Roman" w:eastAsia="Times New Roman" w:hAnsi="Times New Roman"/>
          <w:sz w:val="18"/>
          <w:szCs w:val="18"/>
          <w:color w:val="auto"/>
        </w:rPr>
        <w:t xml:space="preserve"> A fee-based management business that is engaged in managing PINE, as well as a portfolio of assets pursuant to the Portfolio Management Agreement (hereinafter defined), and a portfolio of subsurface interests, as further described in Note 5, “Management Services Business”.</w:t>
      </w:r>
    </w:p>
    <w:p>
      <w:pPr>
        <w:spacing w:after="0" w:line="17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u w:val="single" w:color="auto"/>
          <w:color w:val="auto"/>
        </w:rPr>
        <w:t>Commercial Loans and Investments:</w:t>
      </w:r>
      <w:r>
        <w:rPr>
          <w:rFonts w:ascii="Times New Roman" w:cs="Times New Roman" w:eastAsia="Times New Roman" w:hAnsi="Times New Roman"/>
          <w:sz w:val="18"/>
          <w:szCs w:val="18"/>
          <w:color w:val="auto"/>
        </w:rPr>
        <w:t xml:space="preserve"> A portfolio of five commercial loan investments and three preferred equity investments which are classified as commercial loan investments.</w:t>
      </w:r>
    </w:p>
    <w:p>
      <w:pPr>
        <w:spacing w:after="0" w:line="16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Investment in PINE:</w:t>
      </w:r>
      <w:r>
        <w:rPr>
          <w:rFonts w:ascii="Times New Roman" w:cs="Times New Roman" w:eastAsia="Times New Roman" w:hAnsi="Times New Roman"/>
          <w:sz w:val="18"/>
          <w:szCs w:val="18"/>
          <w:color w:val="auto"/>
        </w:rPr>
        <w:t xml:space="preserve"> Our business also includes our investment in PINE. As of September 30, 2026, the fair value of our investment totaled $42.9 million, or 12.9%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88"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As a result of entering into the Exclusivity and Right of First Offer Agreement with PINE (the “ROFO Agreement”) which generally prevents us from investing in single-tenant net lease income properties, our income property investment strategy will continue to be focused on shopping centers.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9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Our current portfolio of 18 shopping centers generates $119.2 million of revenue from annualized straight-line base lease payments and had a weighted average remaining lease term of 5.1 years as of September 30, 2026. Our current portfolio of 4 other income properties generates $5.8 million of revenues from annualized straight-line base lease payments and had a weighted average remaining lease term of 5.8 years as of September 30, 2026.</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2026 AND 2025</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September 30, 2026 is presented in the following summary and indicates the changes as compared to the three months ended September 30,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4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46,914</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0" w:lineRule="auto"/>
        <w:rPr>
          <w:sz w:val="20"/>
          <w:szCs w:val="20"/>
          <w:color w:val="auto"/>
        </w:rPr>
      </w:pPr>
      <w:r>
        <w:rPr>
          <w:rFonts w:ascii="Times New Roman" w:cs="Times New Roman" w:eastAsia="Times New Roman" w:hAnsi="Times New Roman"/>
          <w:sz w:val="18"/>
          <w:szCs w:val="18"/>
          <w:color w:val="auto"/>
        </w:rPr>
        <w:t>Total revenue for the three months ended September 30, 2026 increased to $46.9 million, compared to $37.8 million during the three months ended September 30, 2025. The $9.1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have increased primarily due to the recent preferred equity investments which are accounted for within our commercial loan and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48"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$38.5 million and $26.9 million, respectively, during the three months ended September 30, 2026, compared to total revenue and operating income of $33.4 million and $24.2 million, respectively, for the three months ended September 30, 2025. The direct costs of revenues for our income property operations totaled $11.6 million and $9.2 million for the three months ended September 30, 2026 and 2025, respectively. The increase in revenues of $5.0 million, or 15.0%, during the three months ended September 30, 2026 is primarily related to the overall growth and lease up of the Company’s income property portfolio, as well as the timing of acquisitions versus dispositions. The increase in operating income of $2.7 million from our income property operations reflects increased rent revenues related to our net investments as well as leasing activity.</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Revenue from our management services from PINE totaled $1.4 million and $1.1 million during the three months ended September 30, 2026 and 2025, respectively. Management services during the three months ended September 30, 2026 and 2025 also included less than $0.1 million and $0.1 million, respectively, from the asset management agreement with a third party to manage a portfolio of multi-tenant and single-tenant assets (the “Portfolio Management Agreement”), and less than $0.1 million from a subsurface management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income from our commercial loans and investments totaled $6.9 million and $3.1 million for the three months ended September 30, 2026 and 2025, respectively. The $3.8 million increase is primarily due to the two preferred equity investments totaling $96.4 million originated in the second quarter of 2026 and a construction loan originated in July 2026, partially offset by the repayment of the Watters Creek preferred equity investment.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three months ended September 30, 2026 is presented in the following summary and indicates the changes as compared to the three months ended September 30, 2025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4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191"/>
        </w:trPr>
        <w:tc>
          <w:tcPr>
            <w:tcW w:w="35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Recurring General and Administrative</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44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primary reason for the increase in total general and administrative expenses is the overall higher employee count, as a result of the increased operating activity from the increase in managed income property assets.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totaled $17.4 million and $14.9 million during the three months ended September 30, 2026 and 2025, respectively. The increase of $2.5 million is due to the overall growth in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and Provision for Impairment and Adjustment to CECL Reserve</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212529"/>
        </w:rPr>
        <w:t xml:space="preserve">2026 and 2025 Dispositions. </w:t>
      </w:r>
      <w:r>
        <w:rPr>
          <w:rFonts w:ascii="Times New Roman" w:cs="Times New Roman" w:eastAsia="Times New Roman" w:hAnsi="Times New Roman"/>
          <w:sz w:val="18"/>
          <w:szCs w:val="18"/>
          <w:color w:val="000000"/>
        </w:rPr>
        <w:t>There were no income property dispositions during the three months ended September</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30, 2026. During the three months ended September 30, 2025, the Company sold its three single-tenant Main Street properties in Daytona Beach, Florida for $7.1 million, generating gains of $1.2 million.</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Impairment and Adjustment to CECL Reserve. </w:t>
      </w:r>
      <w:r>
        <w:rPr>
          <w:rFonts w:ascii="Times New Roman" w:cs="Times New Roman" w:eastAsia="Times New Roman" w:hAnsi="Times New Roman"/>
          <w:sz w:val="18"/>
          <w:szCs w:val="18"/>
          <w:color w:val="auto"/>
        </w:rPr>
        <w:t>There were no impairment charges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property portfolio during the three months ended September 30, 2026 and 2025. The Company recorded a charge to CECL reserves related to its commercial loans and investments of $0.4 million for the three months ended September 30, 2026, compared to a charge of less than $0.1 million for the three months ended September 30, 2025.</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the closing stock price of PINE decreased by $3.41 per share, with a closing price of $17.35 on September 30, 2026. During the three months ended September 30, 2025, the closing stock price of PINE decreased by $0.54 per share, with a closing price of $14.17 on September 30, 2025. The change in stock price resulted in unrealized non-cash losses on the Company’s investment in PINE of $8.4 million and $1.3 million, which are included in investment and other income (loss) in the consolidated statements of operations for the three months ended September 30, 2026 and 2025, respectively.</w:t>
      </w:r>
    </w:p>
    <w:p>
      <w:pPr>
        <w:spacing w:after="0" w:line="18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 earned dividend income of $0.8 million and $0.7 million from its investment in PINE during the three months ended September 30, 2026 and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totaled $7.9 million and $6.8 million for the three months ended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 xml:space="preserve"> and 2025, respectively. The increase of $1.1 million is primarily attributable to an aggregate increase in the Company’s Revolving Facility and term loan balances.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recorded a loss on extinguishment of debt of $0.2 million in connection with the repayment and termination of the BMO Credit Agreement. The loss on extinguishment of debt during the three months ended September 30, 2025 was less than $0.1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 xml:space="preserve">Net income (loss) attributable to the Company totaled $(5.2) million and $2.9 million during the three months ended </w:t>
      </w:r>
      <w:r>
        <w:rPr>
          <w:rFonts w:ascii="Times New Roman" w:cs="Times New Roman" w:eastAsia="Times New Roman" w:hAnsi="Times New Roman"/>
          <w:sz w:val="18"/>
          <w:szCs w:val="18"/>
          <w:color w:val="212529"/>
        </w:rPr>
        <w:t xml:space="preserve">September 30, 2026 and 2025, </w:t>
      </w:r>
      <w:r>
        <w:rPr>
          <w:rFonts w:ascii="Times New Roman" w:cs="Times New Roman" w:eastAsia="Times New Roman" w:hAnsi="Times New Roman"/>
          <w:sz w:val="18"/>
          <w:szCs w:val="18"/>
          <w:color w:val="000000"/>
        </w:rPr>
        <w:t>respectively. The $8.1 million decrease in net income is attributable to the factors described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above.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2026 AND 2025</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nine months ended September 30, 2026 is presented in the following summary and indicates the changes as compared to the nine months ended September 30,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131,918</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1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Total revenue for the nine months ended September 30, 2026 increased to $131.9 million, compared to $111.2 million during the nine months ended September 30, 2025. The $20.7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have increased primarily due to the recent preferred equity investments which are accounted for within our commercial loan and investment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$112.2 million and $79.3 million, respectively, during the nine months ended September 30, 2026, compared to total revenue and operating income of $98.5 million and $70.1 million, respectively, for the nine months ended September 30, 2025. The direct costs of revenues for our income property operations totaled $32.9 million and $28.4 million for the nine months ended September 30, 2026 and 2025, respectively. The increase in revenues of $13.7 million, or 13.9%, during the nine months ended September 30, 2026 is primarily related to the overall growth and lease up of the Company’s income property portfolio, as well as the timing of acquisitions versus dispositions. The increase in operating income of $9.2 million from our income property operations reflects increased rent revenues related to our net investments as well as leasing activity.</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Revenue from our management services from PINE totaled $4.1 million and $3.3 million during the nine months ended September 30, 2026 and 2025, respectively. Management services during each of the nine month periods ended September 30, 2026 and 2025 also included $0.2 million of revenue from the Portfolio Management Agreement, and $0.1 million from a subsurface management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Interest income from our commercial loans and investments totaled $15.4 million and $9.1 million during the nine months ended September 30, 2026 and 2025, respectively. The increase of $6.3 million is primarily due to the timing of the investments made related to new loan originations and structured investments and repayments of previous investments, most notably the two preferred equity agreements for aggregate investments of $96.4 million originated in the second quarter of 2026 and additional draws on existing commercial loans during the nine months ended September 30,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nine months ended September 30, 2026 is presented in the following summary and indicates the changes as compared to the nine months ended September 30, 2025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primary reason for the increase in total general and administrative expenses is the overall higher employee count, as a result of the increased operating activity from the increase in managed income property assets.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totaled $49.2 million and $44.6 million during the nine months ended September 30, 2026 and 2025, respectively. The increase of $4.6 million is due to the overall growth in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and Provision for Impairment and Adjustment to CECL Reserve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212529"/>
        </w:rPr>
        <w:t xml:space="preserve">2026 and 2025 Dispositions. </w:t>
      </w:r>
      <w:r>
        <w:rPr>
          <w:rFonts w:ascii="Times New Roman" w:cs="Times New Roman" w:eastAsia="Times New Roman" w:hAnsi="Times New Roman"/>
          <w:sz w:val="18"/>
          <w:szCs w:val="18"/>
          <w:color w:val="000000"/>
        </w:rPr>
        <w:t>During the nine months ended September 30, 2026, the Company sold two shopping</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center properties for $90.7 million, generating gains of $2.1 million. During the nine months ended September 30, 2025, the Company sold its three single-tenant Main Street properties in Daytona Beach, Florida for $7.1 million, generating gains of $1.2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Impairment and Adjustment to CECL Reserve. </w:t>
      </w:r>
      <w:r>
        <w:rPr>
          <w:rFonts w:ascii="Times New Roman" w:cs="Times New Roman" w:eastAsia="Times New Roman" w:hAnsi="Times New Roman"/>
          <w:sz w:val="18"/>
          <w:szCs w:val="18"/>
          <w:color w:val="auto"/>
        </w:rPr>
        <w:t>There were no impairment charges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property portfolio during the nine months ended September 30, 2026 and 2025. The Company recorded a charge to CECL reserves related to its commercial loans and investments of $1.1 million for the nine months ended September 30, 2026, compared to a charge of less than $0.1 million for the nine months ended September 30,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 xml:space="preserve">During the nine months ended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 xml:space="preserve">, the closing stock price of PINE increased by $0.63 per share, with a closing price of $17.35 on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 During the nine months ended September 30, 2025, the closing stock price of PINE decreased by $2.62 per share, with a closing price of $14.17 on September 30, 2025</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The change in stock price resulted in unrealized non-cash gain (loss) on the Company’s investment in PINE in the amount of $1.6 million and $(6.2) million which is included in investment and other income (loss) in the consolidated statements of operations for the nine months ended </w:t>
      </w:r>
      <w:r>
        <w:rPr>
          <w:rFonts w:ascii="Times New Roman" w:cs="Times New Roman" w:eastAsia="Times New Roman" w:hAnsi="Times New Roman"/>
          <w:sz w:val="18"/>
          <w:szCs w:val="18"/>
          <w:color w:val="212529"/>
        </w:rPr>
        <w:t>September 30, 2026 and 2025</w:t>
      </w:r>
      <w:r>
        <w:rPr>
          <w:rFonts w:ascii="Times New Roman" w:cs="Times New Roman" w:eastAsia="Times New Roman" w:hAnsi="Times New Roman"/>
          <w:sz w:val="18"/>
          <w:szCs w:val="18"/>
          <w:color w:val="auto"/>
        </w:rPr>
        <w:t>, respectively.</w:t>
      </w:r>
    </w:p>
    <w:p>
      <w:pPr>
        <w:spacing w:after="0" w:line="18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 xml:space="preserve">The Company earned dividend income of $2.3 million and $2.1 million from its investment in PINE during the nine months ended </w:t>
      </w:r>
      <w:r>
        <w:rPr>
          <w:rFonts w:ascii="Times New Roman" w:cs="Times New Roman" w:eastAsia="Times New Roman" w:hAnsi="Times New Roman"/>
          <w:sz w:val="18"/>
          <w:szCs w:val="18"/>
          <w:color w:val="212529"/>
        </w:rPr>
        <w:t>September 30, 2026 and 2025, respectively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totaled $23.0 million and $19.8 million for the nine months ended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 xml:space="preserve"> and 2025, respectively. The increase of $3.2 million is primarily attributable to higher average borrowings under our Revolving Facility and an aggregate increase in the Company’s term loan balances.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recorded a loss on extinguishment of debt of $0.2 million in connection with the repayment and termination of the BMO Credit Agreement. During the nine months ended September 30, 2025, the Company settled the aggregate $51.0 million of principal outstanding on the 2025 Notes in a combination of cash and the issuance of shares of the Company’s common stock resulting in a loss on extinguishment of debt of $20.4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income (loss) attributable to the Company totaled $16.1 million and $(18.2) million during the nine months ended September 30, 2026 and 2025, respectively. The $34.4 million increase in net income is attributable to the factors described above, most notably the $20.4 million loss on extinguishment of debt incurred during the nine months ended September 30, 2025 compared to $0.2 million during the nine months ended September 30,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 xml:space="preserve">Cash and cash equivalents totaled $8.8 million at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 xml:space="preserve">, while restricted cash totaled $12.3 million, see Note 2, “Summary of Significant Accounting Policies” in the Notes to Financial Statements under the heading Restricted Cash for the Company’s disclosure related to its restricted cash balance at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Our cash flows provided by operating activities totaled $59.2 million during the nine months ended September 30, 2026, as compared to $58.3 million during the nine months ended September 30, 2025, an increase of $0.9 million. The primary reason for the increase is the increased cash flows provided by income properties, which is the result of the overall growth and lease up of the Company’s income property portfolio, as well as increased cash flows from our commercial loans and investments, partially offset by increased interest expense to fund our net investment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441"/>
        <w:spacing w:after="0" w:line="232" w:lineRule="auto"/>
        <w:rPr>
          <w:sz w:val="20"/>
          <w:szCs w:val="20"/>
          <w:color w:val="auto"/>
        </w:rPr>
      </w:pPr>
      <w:r>
        <w:rPr>
          <w:rFonts w:ascii="Times New Roman" w:cs="Times New Roman" w:eastAsia="Times New Roman" w:hAnsi="Times New Roman"/>
          <w:sz w:val="18"/>
          <w:szCs w:val="18"/>
          <w:color w:val="auto"/>
        </w:rPr>
        <w:t>Our cash flows used in investing activities totaled $253.1 million during the nine months ended September 30, 2026, as compared to $95.9 million during the nine months ended September 30, 2025, for an increase in cash outflows of $157.2 million. This increase was primarily driven by a $101.7 million increase in net funding of new and existing commercial loans and investments, including related reserve funding, and a $54.9 million increase in net investments in property acquisitions and capital improvements, net of dispositions.</w:t>
      </w:r>
    </w:p>
    <w:p>
      <w:pPr>
        <w:spacing w:after="0" w:line="201"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Our cash flows provided by financing activities totaled $173.9 million during the nine months ended September 30, 2026, compared to $37.8 million for the nine months ended September 30, 2025, an increase in cash inflows of $136.1 million. The increase is primarily due to $124.8 million in higher net proceeds from common stock issuances under the Common Stock ATM program and the $14.1 million premium paid related to the settlement of the 2025 Notes during the nine months ended September 30, 2025, partially offset by $6.1 million in higher cash paid for loan fees. Net borrowings on long-term debt were $104.2 million during the nine months ended September 30, 2026, compared to $100.7 million during the nine months ended September 30, 2025.</w:t>
      </w:r>
    </w:p>
    <w:p>
      <w:pPr>
        <w:spacing w:after="0" w:line="214"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On September 29, 2026, we entered into the Amended and Restated KeyBank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provides for a $400.0 million Revolving Facility maturing in September 2030 and four $150.0 million term loans maturing between September 2029 and March 2032. Proceeds were used to repay and terminate the BMO Credit Agreement, which included our previous $300.0 million revolving facility and our term loans maturing in January 2027 and January 2028. As of September 30, 2026, the commitment level under the Revolving Facility was $400.0 million and the Company had an outstanding balance of $123.0 million. The available borrowing capacity under the Revolving Facility, subject to borrowing base restrictions, was $245.8 million as of September 30, 2026. See Note 14, “Long-Term Debt” in the Notes to Financial Statements for the Company’s disclosure related to its long-term debt balance at September 30, 2026.</w:t>
      </w:r>
    </w:p>
    <w:p>
      <w:pPr>
        <w:spacing w:after="0" w:line="213" w:lineRule="exact"/>
        <w:rPr>
          <w:sz w:val="20"/>
          <w:szCs w:val="20"/>
          <w:color w:val="auto"/>
        </w:rPr>
      </w:pPr>
    </w:p>
    <w:p>
      <w:pPr>
        <w:jc w:val="both"/>
        <w:ind w:left="60" w:right="59" w:firstLine="492"/>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During the nine months ended September 30, 2026, the Company acquired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center properties, an outparcel at one of its existing shopping centers, and one land parcel for an aggregate purchase price of $203.1 million, or a total acquisition cost of $203.7 million. During the nine months ended September 30, 2025, the Company acquired one shopping center for a purchase price of $79.8 million, or a total acquisition cost of $80.0 million, including capitalized acquisition costs.</w:t>
      </w:r>
    </w:p>
    <w:p>
      <w:pPr>
        <w:spacing w:after="0" w:line="185"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expect to fund future acquisitions utilizing cash on hand, cash from operations, proceeds from the dispositions of income properties through 1031 like-kind exchanges, borrowings on our Revolving Facility, if available, and additional financing sources. We expect dispositions of income properties will qualify under the like-kind exchange deferred-tax structure.</w:t>
      </w:r>
    </w:p>
    <w:p>
      <w:pPr>
        <w:spacing w:after="0" w:line="178" w:lineRule="exact"/>
        <w:rPr>
          <w:sz w:val="20"/>
          <w:szCs w:val="20"/>
          <w:color w:val="auto"/>
        </w:rPr>
      </w:pPr>
    </w:p>
    <w:p>
      <w:pPr>
        <w:jc w:val="both"/>
        <w:ind w:left="60" w:right="7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During the nine months ended September 30, 2026, the Company sold two shopping center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$90.7 million, generating gains of $2.1 million. During the nine months ended September 30, 2025, the Company sold three single-tenant income properties for $7.1 million, generating gains totaling $1.2 million.</w:t>
      </w:r>
    </w:p>
    <w:p>
      <w:pPr>
        <w:spacing w:after="0" w:line="17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i w:val="1"/>
          <w:iCs w:val="1"/>
          <w:color w:val="auto"/>
        </w:rPr>
        <w:t>ATM Program</w:t>
      </w:r>
      <w:r>
        <w:rPr>
          <w:rFonts w:ascii="Times New Roman" w:cs="Times New Roman" w:eastAsia="Times New Roman" w:hAnsi="Times New Roman"/>
          <w:sz w:val="18"/>
          <w:szCs w:val="18"/>
          <w:color w:val="auto"/>
        </w:rPr>
        <w:t>. During the nine months ended September 30, 2026, the Company sold 6,188,971 shares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ATM Program for gross proceeds of $127.0 million at a weighted average price of $20.52 per share, generating net proceeds of $125.1 million after deducting transaction fees of $1.9 million. As of September 30, 2026, $89.5 million of availability remained under the Common Stock ATM Program.</w:t>
      </w:r>
    </w:p>
    <w:p>
      <w:pPr>
        <w:spacing w:after="0" w:line="180"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 Expenditures. </w:t>
      </w:r>
      <w:r>
        <w:rPr>
          <w:rFonts w:ascii="Times New Roman" w:cs="Times New Roman" w:eastAsia="Times New Roman" w:hAnsi="Times New Roman"/>
          <w:sz w:val="18"/>
          <w:szCs w:val="18"/>
          <w:color w:val="auto"/>
        </w:rPr>
        <w:t>The Company has committed to fund the following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improvements. The improvements, which are related to several properties, are estimated to be generally completed within twelve months. These commitments, as of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37,853</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Funded</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Commitment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32,609</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60" w:type="dxa"/>
            <w:vAlign w:val="bottom"/>
          </w:tcPr>
          <w:p>
            <w:pPr>
              <w:spacing w:after="0"/>
              <w:rPr>
                <w:sz w:val="8"/>
                <w:szCs w:val="8"/>
                <w:color w:val="auto"/>
              </w:rPr>
            </w:pPr>
          </w:p>
        </w:tc>
      </w:tr>
    </w:tbl>
    <w:p>
      <w:pPr>
        <w:spacing w:after="0" w:line="15" w:lineRule="exact"/>
        <w:rPr>
          <w:sz w:val="20"/>
          <w:szCs w:val="20"/>
          <w:color w:val="auto"/>
        </w:rPr>
      </w:pPr>
    </w:p>
    <w:p>
      <w:pPr>
        <w:ind w:left="340" w:hanging="290"/>
        <w:spacing w:after="0"/>
        <w:tabs>
          <w:tab w:leader="none" w:pos="34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81"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unfunded loan commitments under three construction loans, as described in Note 4, “Commercial Loans and Investments.” The unfunded portion of these construction loans totaled $36.2 million as of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None.</w:t>
      </w:r>
    </w:p>
    <w:p>
      <w:pPr>
        <w:spacing w:after="0" w:line="21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We believe we will have sufficient liquidity to fund our operations, capital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debt service requirements over the next twelve months and into the foreseeable future, with cash on hand, cash flow from our operations, $89.5 million of availability remaining under the Common Stock ATM Program, and $245.8 million of available borrowing capacity, subject to borrowing base restrictions, under our $400.0 million Revolving Facility as of September 30, 2026.</w:t>
      </w:r>
    </w:p>
    <w:p>
      <w:pPr>
        <w:spacing w:after="0" w:line="185"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Revolving Facility to increase our portfolio of income-producing properties, providing stabilized cash flows with strong risk-adjusted returns primarily in larger metropolitan areas and growth markets.</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 securities of real estate companies, or make other shorter-term investments. In addition to our primary shopping center investment strategy, our targeted investment classes may include the following: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asset classes</w:t>
      </w:r>
    </w:p>
    <w:p>
      <w:pPr>
        <w:spacing w:after="0" w:line="29" w:lineRule="exact"/>
        <w:rPr>
          <w:sz w:val="20"/>
          <w:szCs w:val="20"/>
          <w:color w:val="auto"/>
        </w:rPr>
      </w:pPr>
    </w:p>
    <w:p>
      <w:pPr>
        <w:jc w:val="both"/>
        <w:ind w:left="840" w:right="79" w:hanging="331"/>
        <w:spacing w:after="0" w:line="250"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Single-tenant retail or other commercial, double or triple net leased, properties that are typically stabilized and located in what we believe to be faster growing, business-friendly markets exhibiting accommodative business tax policies and outsized relative job and population growth that are compliant with our commitments under the ROFO Agreement;</w:t>
      </w:r>
    </w:p>
    <w:p>
      <w:pPr>
        <w:spacing w:after="0" w:line="1" w:lineRule="exact"/>
        <w:rPr>
          <w:rFonts w:ascii="Times New Roman" w:cs="Times New Roman" w:eastAsia="Times New Roman" w:hAnsi="Times New Roman"/>
          <w:sz w:val="18"/>
          <w:szCs w:val="18"/>
          <w:color w:val="auto"/>
        </w:rPr>
      </w:pPr>
    </w:p>
    <w:p>
      <w:pPr>
        <w:ind w:left="840" w:right="79" w:hanging="331"/>
        <w:spacing w:after="0" w:line="250"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whether purchased or originated by the Company, that are compliant with our commitments under the ROFO Agreement;</w:t>
      </w:r>
    </w:p>
    <w:p>
      <w:pPr>
        <w:ind w:left="840" w:hanging="331"/>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retail or other commercial properties;</w:t>
      </w:r>
    </w:p>
    <w:p>
      <w:pPr>
        <w:spacing w:after="0" w:line="9" w:lineRule="exact"/>
        <w:rPr>
          <w:rFonts w:ascii="Times New Roman" w:cs="Times New Roman" w:eastAsia="Times New Roman" w:hAnsi="Times New Roman"/>
          <w:sz w:val="18"/>
          <w:szCs w:val="18"/>
          <w:color w:val="auto"/>
        </w:rPr>
      </w:pPr>
    </w:p>
    <w:p>
      <w:pPr>
        <w:jc w:val="both"/>
        <w:ind w:left="840" w:right="79" w:hanging="331"/>
        <w:spacing w:after="0" w:line="250"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loans and investments, whether purchased or originated by the Company, with loan terms of 1-10 years with strong risk-adjusted yields secured by property types to include hotel, retail, residential, land and industrial;</w:t>
      </w:r>
    </w:p>
    <w:p>
      <w:pPr>
        <w:spacing w:after="0" w:line="1" w:lineRule="exact"/>
        <w:rPr>
          <w:rFonts w:ascii="Times New Roman" w:cs="Times New Roman" w:eastAsia="Times New Roman" w:hAnsi="Times New Roman"/>
          <w:sz w:val="18"/>
          <w:szCs w:val="18"/>
          <w:color w:val="auto"/>
        </w:rPr>
      </w:pPr>
    </w:p>
    <w:p>
      <w:pPr>
        <w:ind w:left="840" w:right="79" w:hanging="331"/>
        <w:spacing w:after="0" w:line="250"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estate-related investment securities, including commercial mortgage-backed securities, preferred or common stock, and corporate bonds.</w:t>
      </w:r>
    </w:p>
    <w:p>
      <w:pPr>
        <w:spacing w:after="0" w:line="181"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investments in income-producing properties are typically subject to long-term leases. For shopping centers,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81" w:lineRule="auto"/>
        <w:rPr>
          <w:sz w:val="20"/>
          <w:szCs w:val="20"/>
          <w:color w:val="auto"/>
        </w:rPr>
      </w:pPr>
      <w:r>
        <w:rPr>
          <w:rFonts w:ascii="Times New Roman" w:cs="Times New Roman" w:eastAsia="Times New Roman" w:hAnsi="Times New Roman"/>
          <w:sz w:val="17"/>
          <w:szCs w:val="17"/>
          <w:color w:val="auto"/>
        </w:rPr>
        <w:t>Our reported results are presented in accordance with U.S. GAAP. We also disclose Funds From Operations (“FFO”), Core Funds From Operations (“Core FFO”), and Adjusted Funds From Operations (“AFFO”), each of which is non-U.S. GAAP financial measures. We believe these non-U.S. GAAP financial measures are useful to investors because they are widely accepted industry measures used by analysts and investors to compare the operating performance of REITs.</w:t>
      </w:r>
    </w:p>
    <w:p>
      <w:pPr>
        <w:spacing w:after="0" w:line="16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80"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w:t>
      </w:r>
    </w:p>
    <w:p>
      <w:pPr>
        <w:spacing w:after="0" w:line="162"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current expected credit losses (“CECL”) on commercial loans and investments at the time of origination and repayment, including the pro rata share of such adjustments of unconsolidated subsidiaries.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w:t>
      </w:r>
    </w:p>
    <w:p>
      <w:pPr>
        <w:spacing w:after="0" w:line="19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2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Non-U.S. GAAP Measures (in thousands, except share and dividend data):</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9"/>
                <w:szCs w:val="19"/>
                <w:color w:val="auto"/>
              </w:rPr>
            </w:pPr>
          </w:p>
        </w:tc>
        <w:tc>
          <w:tcPr>
            <w:tcW w:w="2120" w:type="dxa"/>
            <w:vAlign w:val="bottom"/>
            <w:gridSpan w:val="4"/>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9"/>
                <w:szCs w:val="19"/>
                <w:color w:val="auto"/>
              </w:rPr>
            </w:pPr>
          </w:p>
        </w:tc>
        <w:tc>
          <w:tcPr>
            <w:tcW w:w="2120" w:type="dxa"/>
            <w:vAlign w:val="bottom"/>
            <w:gridSpan w:val="4"/>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Real Estate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 and Adjustment to CECL</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1"/>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and Unrealized Loss (Gain) on Investment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Net of Income Tax</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191"/>
        </w:trPr>
        <w:tc>
          <w:tcPr>
            <w:tcW w:w="428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Funds From Operations Attributable to Common</w:t>
            </w: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to Lease Income</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191"/>
        </w:trPr>
        <w:tc>
          <w:tcPr>
            <w:tcW w:w="428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Core Funds From Operations Attributable to Common</w:t>
            </w: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44,736</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Loan Costs, Discount on Convertible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and Capitalized Interest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Adjusted Funds From Operations Attributable to</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58,229</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37,537,899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32,651,101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35,033,606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32,298,304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32,682,775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35,081,726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32,313,895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Preferred Stock</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Common Stock</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PIK Interest Earned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PIK Interest Paid</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PIK Interest Earned in Excess of PIK Interest Paid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 (in thousands, except per share data):</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2120" w:type="dxa"/>
            <w:vAlign w:val="bottom"/>
            <w:gridSpan w:val="4"/>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20" w:type="dxa"/>
            <w:vAlign w:val="bottom"/>
            <w:gridSpan w:val="4"/>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9"/>
        </w:trPr>
        <w:tc>
          <w:tcPr>
            <w:tcW w:w="42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25,183</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per Common Share</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Diluted</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FFO Attributable to Common Stockholders</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19,817</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15,632</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55,186</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44,736</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FFO Attributable to Common Stockholders per Common</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 Diluted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AFFO Attributable to Common 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47,133</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AFFO Attributable to Common Stockholders per Common</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 Diluted</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U.S. GAAP,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three shopping centers, an outparcel at one of its existing shopping centers, and one land parcel for an aggregate purchase price of $203.1 million, or a total acquisition cost of $203.7 million for the nine months ended September 30, 2026, and one shopping center for an aggregate purchase price of $79.8 million, or a total acquisition cost of $80.0 million, for the nine months ended September 30, 2025.</w:t>
      </w:r>
    </w:p>
    <w:p>
      <w:pPr>
        <w:spacing w:after="0" w:line="234"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Notes to Financial Statements, for further discussion of the Company’s accounting estimates and policies.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207"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We are primarily exposed to interest rate risk relating to our own debt in connection with our Revolving Facility, as this facility carries a variable rate of interest. Our borrowings on our $400.0 million and $300.0 million Revolving Facility, as of September 29, 2026 and prior to September 29, 2026, respectively, bear interest at a rate ranging from SOFR plus the applicable spread based on our level of borrowing as a percentage of our total asset value. As of September 30, 2026, the outstanding balance on our Revolving Facility totaled $123.0 million, none of which was fixed by virtue of an interest rate swap agreement. As of September 30, 2025, the outstanding balance on our Revolving Facility totaled $139.0 million, of which $74.0 million was not fixed by virtue of an interest rate swap agreement. A hypothetical change in the interest rate of 100 basis points (i.e., 1%) would affect our financial position, results of operations, and cash flows by $1.2 million and $0.7 million as of September 30, 2026 and 2025, respectively. The Company entered into interest rate swap agreements to hedge against changes in future cash flows resulting from fluctuating interest rates related to certain of its debt borrowings, see Note 15, “Interest Rate Swaps” in the Notes to Financial Statements.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7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2026, that have materially affected, or are reasonably likely to materially affect, the Company’s internal control over financial reporting.</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5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7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the information set forth under the heading Part I, “Item 1A. Risk Factors” in the Company’s Annual Report on Form 10-K for the year ended December 31, 2025 (the “Form 10-K”). The risks described in the Form 10-K are not the only risks facing the Company. Additional risks and uncertainties not currently known to the Company or that the Company currently deems to be immaterial also may materially adversely affect the Company. As of September 30, 2026, there have been no material changes in our risk factors from those set forth within the Form 10-K.</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00" w:lineRule="exact"/>
        <w:rPr>
          <w:sz w:val="20"/>
          <w:szCs w:val="20"/>
          <w:color w:val="auto"/>
        </w:rPr>
      </w:pP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7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Pursuant to the terms of the management agreement among PINE, the PINE Operating Partnership and Alpine Income Property Manager, LLC (the “Manager”), a wholly-owned subsidiary of the Company, dated November 26, 2019 and amended on July 18, 2024 (the “Management Agreement”), the Manager manages, operates, and administers PINE’s day-to-day operations, business and affairs. PINE pays the Manager a base management fee (the “Base Management Fee”) equal to 1.50% per annum (0.375% per fiscal quarter) of PINE’s “total equity” (as defined in the Management Agreement), calculated and payable in cash, quarterly in arrears.</w:t>
      </w:r>
    </w:p>
    <w:p>
      <w:pPr>
        <w:spacing w:after="0" w:line="22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In connection with the “at the market offering” by PINE of its 8.00% Series A Cumulative Redeemable Preferred Stock (the “PINE Series A Preferred Stock”), the Manager executed a waiver (the “Waiver Letter”) on October 23, 2026, which provides that the Manager will waive a portion of the Base Management Fee attributable to the inclusion of the net cash proceeds from the issuance of the PINE Series A Preferred Stock in Total Equity (the “Incremental Equity Base”), such that the Base Management Fee rate on the Incremental Equity Base will equal 0.75% per annum (0.1875% per fiscal quarter), instead of 1.50% per annum (0.375% per fiscal quarter) as provided in the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7620" w:type="dxa"/>
            <w:vAlign w:val="bottom"/>
            <w:gridSpan w:val="20"/>
          </w:tcPr>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hyperlink r:id="rId80">
              <w:r>
                <w:rPr>
                  <w:rFonts w:ascii="Times New Roman" w:cs="Times New Roman" w:eastAsia="Times New Roman" w:hAnsi="Times New Roman"/>
                  <w:sz w:val="17"/>
                  <w:szCs w:val="17"/>
                  <w:color w:val="0000EE"/>
                </w:rPr>
                <w:t>Articles of Amendment and Restatement of CTO Realty Growth, Inc., as amended by the Articles of</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Amendment (Name Change), filed as Exhibit 3.1 to the registrant’s current report on Form 8-K12B filed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20" w:type="dxa"/>
            <w:vAlign w:val="bottom"/>
            <w:gridSpan w:val="19"/>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February 1, 2021, and incorporated herein by reference.</w:t>
              </w:r>
            </w:hyperlink>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Articles Supplementary, designating CTO Realty Growth, Inc.’s 6.375% Series A Cumulative</w:t>
              </w:r>
            </w:hyperlink>
          </w:p>
        </w:tc>
        <w:tc>
          <w:tcPr>
            <w:tcW w:w="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Redeemable Preferred Stock, filed as Exhibit 3.2 to the registrant's Registration Statement on Form 8-A</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20" w:type="dxa"/>
            <w:vAlign w:val="bottom"/>
            <w:gridSpan w:val="19"/>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filed July 1, 2021 (File No. 001-11350), and incorporated herein by reference.</w:t>
              </w:r>
            </w:hyperlink>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Articles Supplementary, designating 3,000,000 additional shares of CTO Realty Growth, Inc.’s 6.375%</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Series A Cumulative Redeemable Preferred Stock, filed as Exhibit 3.1 to the registrant’s current report</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on Form 8-K filed April 3, 2024, and incorporated herein by reference.</w:t>
              </w:r>
            </w:hyperlink>
          </w:p>
        </w:tc>
        <w:tc>
          <w:tcPr>
            <w:tcW w:w="2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4"/>
                <w:szCs w:val="24"/>
                <w:color w:val="auto"/>
              </w:rPr>
            </w:pPr>
          </w:p>
        </w:tc>
        <w:tc>
          <w:tcPr>
            <w:tcW w:w="7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Third Amended and Restated Bylaws of CTO Realty Growth, Inc., effective as of February 16, 2023,</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filed as Exhibit 3.1 to the registrant’s current report on Form 8-K filed February 17, 2023, and</w:t>
              </w:r>
            </w:hyperlink>
          </w:p>
        </w:tc>
        <w:tc>
          <w:tcPr>
            <w:tcW w:w="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incorporated herein by reference.</w:t>
              </w:r>
            </w:hyperlink>
          </w:p>
        </w:tc>
        <w:tc>
          <w:tcPr>
            <w:tcW w:w="51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75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Specimen Common Stock Certificate of CTO Realty Growth, Inc., filed as Exhibit 4.2 to the registrant’s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current report on Form 8-K12B filed February 1, 2021, and incorporated herein by reference.</w:t>
              </w:r>
            </w:hyperlink>
          </w:p>
        </w:tc>
        <w:tc>
          <w:tcPr>
            <w:tcW w:w="8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7520" w:type="dxa"/>
            <w:vAlign w:val="bottom"/>
            <w:gridSpan w:val="19"/>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Credit Agreement, dated September 29, 2026, among CTO Realty Growth, Inc.,</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the Guarantors party thereto, KeyBank National Association, as Administrative Agent, and the other</w:t>
              </w:r>
            </w:hyperlink>
          </w:p>
        </w:tc>
        <w:tc>
          <w:tcPr>
            <w:tcW w:w="22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20" w:type="dxa"/>
            <w:vAlign w:val="bottom"/>
            <w:gridSpan w:val="19"/>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lenders named therein, filed as Exhibit 10.1 to the registrant’s current report on Form 8-K filed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September 30, 2026, and incorporated herein by reference</w:t>
              </w:r>
              <w:r>
                <w:rPr>
                  <w:rFonts w:ascii="Times New Roman" w:cs="Times New Roman" w:eastAsia="Times New Roman" w:hAnsi="Times New Roman"/>
                  <w:sz w:val="18"/>
                  <w:szCs w:val="18"/>
                  <w:color w:val="000000"/>
                </w:rPr>
                <w:t>.</w:t>
              </w:r>
            </w:hyperlink>
          </w:p>
        </w:tc>
        <w:tc>
          <w:tcPr>
            <w:tcW w:w="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Waiver Letter, dated as of October 23, 2026 (filed herewith).</w:t>
            </w:r>
          </w:p>
        </w:tc>
        <w:tc>
          <w:tcPr>
            <w:tcW w:w="3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31.1</w:t>
            </w:r>
          </w:p>
        </w:tc>
        <w:tc>
          <w:tcPr>
            <w:tcW w:w="100" w:type="dxa"/>
            <w:vAlign w:val="bottom"/>
          </w:tcPr>
          <w:p>
            <w:pPr>
              <w:spacing w:after="0"/>
              <w:rPr>
                <w:sz w:val="24"/>
                <w:szCs w:val="24"/>
                <w:color w:val="auto"/>
              </w:rPr>
            </w:pPr>
          </w:p>
        </w:tc>
        <w:tc>
          <w:tcPr>
            <w:tcW w:w="5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c>
          <w:tcPr>
            <w:tcW w:w="21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31.2</w:t>
            </w:r>
          </w:p>
        </w:tc>
        <w:tc>
          <w:tcPr>
            <w:tcW w:w="100" w:type="dxa"/>
            <w:vAlign w:val="bottom"/>
          </w:tcPr>
          <w:p>
            <w:pPr>
              <w:spacing w:after="0"/>
              <w:rPr>
                <w:sz w:val="24"/>
                <w:szCs w:val="24"/>
                <w:color w:val="auto"/>
              </w:rPr>
            </w:pPr>
          </w:p>
        </w:tc>
        <w:tc>
          <w:tcPr>
            <w:tcW w:w="5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c>
          <w:tcPr>
            <w:tcW w:w="21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32.1</w:t>
            </w:r>
          </w:p>
        </w:tc>
        <w:tc>
          <w:tcPr>
            <w:tcW w:w="100" w:type="dxa"/>
            <w:vAlign w:val="bottom"/>
          </w:tcPr>
          <w:p>
            <w:pPr>
              <w:spacing w:after="0"/>
              <w:rPr>
                <w:sz w:val="24"/>
                <w:szCs w:val="24"/>
                <w:color w:val="auto"/>
              </w:rPr>
            </w:pPr>
          </w:p>
        </w:tc>
        <w:tc>
          <w:tcPr>
            <w:tcW w:w="6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9"/>
              </w:rPr>
              <w:t>Sarbanes-Oxley Act of 2002.</w:t>
            </w:r>
          </w:p>
        </w:tc>
        <w:tc>
          <w:tcPr>
            <w:tcW w:w="55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32.2</w:t>
            </w:r>
          </w:p>
        </w:tc>
        <w:tc>
          <w:tcPr>
            <w:tcW w:w="100" w:type="dxa"/>
            <w:vAlign w:val="bottom"/>
          </w:tcPr>
          <w:p>
            <w:pPr>
              <w:spacing w:after="0"/>
              <w:rPr>
                <w:sz w:val="24"/>
                <w:szCs w:val="24"/>
                <w:color w:val="auto"/>
              </w:rPr>
            </w:pPr>
          </w:p>
        </w:tc>
        <w:tc>
          <w:tcPr>
            <w:tcW w:w="6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9"/>
              </w:rPr>
              <w:t>Sarbanes-Oxley Act of 2002.</w:t>
            </w:r>
          </w:p>
        </w:tc>
        <w:tc>
          <w:tcPr>
            <w:tcW w:w="55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Exhibit 104</w:t>
            </w:r>
          </w:p>
        </w:tc>
        <w:tc>
          <w:tcPr>
            <w:tcW w:w="100" w:type="dxa"/>
            <w:vAlign w:val="bottom"/>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jc w:val="both"/>
        <w:ind w:left="380" w:right="379" w:hanging="330"/>
        <w:spacing w:after="0" w:line="259"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27, 2026</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5546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61"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27, 2026</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56"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27, 2026</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6" w:lineRule="exact"/>
        <w:rPr>
          <w:sz w:val="20"/>
          <w:szCs w:val="20"/>
          <w:color w:val="auto"/>
        </w:rPr>
      </w:pPr>
    </w:p>
    <w:p>
      <w:pPr>
        <w:jc w:val="center"/>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ALPINE INCOME PROPERTY MANAGER, LLC 369 N. New York Avenue, Suite 201 Winter Park, Florida</w:t>
      </w: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October 23, 2026</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Alpine Income Property Trust,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369 N. New York Avenue, Suite 201</w:t>
      </w:r>
    </w:p>
    <w:p>
      <w:pPr>
        <w:ind w:left="200"/>
        <w:spacing w:after="0" w:line="230" w:lineRule="auto"/>
        <w:rPr>
          <w:sz w:val="20"/>
          <w:szCs w:val="20"/>
          <w:color w:val="auto"/>
        </w:rPr>
      </w:pPr>
      <w:r>
        <w:rPr>
          <w:rFonts w:ascii="Times New Roman" w:cs="Times New Roman" w:eastAsia="Times New Roman" w:hAnsi="Times New Roman"/>
          <w:sz w:val="22"/>
          <w:szCs w:val="22"/>
          <w:color w:val="auto"/>
        </w:rPr>
        <w:t>Winter Park, Florida</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Attn: Independent Directors</w:t>
      </w:r>
    </w:p>
    <w:p>
      <w:pPr>
        <w:spacing w:after="0" w:line="18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Management Agreement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Reference is made to that certain Management Agreement, dated November 26, 2019, and as amended on July 18, 2024 (as amended, the “</w:t>
      </w:r>
      <w:r>
        <w:rPr>
          <w:rFonts w:ascii="Times New Roman" w:cs="Times New Roman" w:eastAsia="Times New Roman" w:hAnsi="Times New Roman"/>
          <w:sz w:val="22"/>
          <w:szCs w:val="22"/>
          <w:u w:val="single" w:color="auto"/>
          <w:color w:val="auto"/>
        </w:rPr>
        <w:t>Management Agreement</w:t>
      </w:r>
      <w:r>
        <w:rPr>
          <w:rFonts w:ascii="Times New Roman" w:cs="Times New Roman" w:eastAsia="Times New Roman" w:hAnsi="Times New Roman"/>
          <w:sz w:val="22"/>
          <w:szCs w:val="22"/>
          <w:color w:val="auto"/>
        </w:rPr>
        <w:t>”), among Alpine Income Property Trust,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Alpine Income Property OP, LP (the “</w:t>
      </w:r>
      <w:r>
        <w:rPr>
          <w:rFonts w:ascii="Times New Roman" w:cs="Times New Roman" w:eastAsia="Times New Roman" w:hAnsi="Times New Roman"/>
          <w:sz w:val="22"/>
          <w:szCs w:val="22"/>
          <w:u w:val="single" w:color="auto"/>
          <w:color w:val="auto"/>
        </w:rPr>
        <w:t>Operating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and Alpine Income Property Manager, LLC (the “</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Capitalized terms used but not defined herein shall have the respective meanings ascribed to such terms in the Management Agreement.</w:t>
      </w:r>
    </w:p>
    <w:p>
      <w:pPr>
        <w:spacing w:after="0" w:line="181"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The Company, the Operating Partnership and the Manager have proposed to enter into separate equity distribution agreements with each of Raymond James &amp; Associates, Inc., A.G.P./Alliance Global Partners, Robert W. Baird &amp; Co. Incorporated, B. Riley Securities, Inc., Cantor Fitzgerald &amp; Co., Colliers Securities LLC, Huntington Securities, Inc., Jefferies LLC, JonesTrading Institutional Services LLC, Lucid Capital Markets, LLC, Stifel, Nicolaus &amp; Company, Incorporated and Truist Securities, Inc., pursuant to which the Company may issue and sell from time to time (the “</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shares of 8.00% Series A Cumulative Redeemable Preferred Stock, having an aggregate gross sales price of up to $35,000,000 (the “</w:t>
      </w:r>
      <w:r>
        <w:rPr>
          <w:rFonts w:ascii="Times New Roman" w:cs="Times New Roman" w:eastAsia="Times New Roman" w:hAnsi="Times New Roman"/>
          <w:sz w:val="22"/>
          <w:szCs w:val="22"/>
          <w:u w:val="single" w:color="auto"/>
          <w:color w:val="auto"/>
        </w:rPr>
        <w:t>Preferred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Manager wishes to confirm certain matters, more fully set forth below, with respect to a partial waiver of the Base Management Fee attributable to the inclusion of the net cash proceeds from the issuance of the Preferred Shares in the Company’s Total Equity.</w:t>
      </w:r>
    </w:p>
    <w:p>
      <w:pPr>
        <w:spacing w:after="0" w:line="173" w:lineRule="exact"/>
        <w:rPr>
          <w:sz w:val="20"/>
          <w:szCs w:val="20"/>
          <w:color w:val="auto"/>
        </w:rPr>
      </w:pPr>
    </w:p>
    <w:p>
      <w:pPr>
        <w:ind w:left="1500" w:hanging="643"/>
        <w:spacing w:after="0"/>
        <w:tabs>
          <w:tab w:leader="none" w:pos="15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Management Fee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In connection with the Offering, the Manager shall waive a portion of the Base Management Fee attributable to the inclusion of the net cash proceeds from the issuance of the Preferred Shares sold in the Offering in Total Equity (the “</w:t>
      </w:r>
      <w:r>
        <w:rPr>
          <w:rFonts w:ascii="Times New Roman" w:cs="Times New Roman" w:eastAsia="Times New Roman" w:hAnsi="Times New Roman"/>
          <w:sz w:val="22"/>
          <w:szCs w:val="22"/>
          <w:u w:val="single" w:color="auto"/>
          <w:color w:val="auto"/>
        </w:rPr>
        <w:t>Incremental Equity Base</w:t>
      </w:r>
      <w:r>
        <w:rPr>
          <w:rFonts w:ascii="Times New Roman" w:cs="Times New Roman" w:eastAsia="Times New Roman" w:hAnsi="Times New Roman"/>
          <w:sz w:val="22"/>
          <w:szCs w:val="22"/>
          <w:color w:val="auto"/>
        </w:rPr>
        <w:t>”), such that the Base Management Fee rate on the Incremental Equity Base will equal 0.75% per annum (0.1875% per fiscal quarter), instead of 1.50% per annum (0.375% per fiscal quarter) as provided in the Management Agreement (the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629920</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6" w:name="page57"/>
    <w:bookmarkEnd w:id="56"/>
    <w:p>
      <w:pPr>
        <w:ind w:left="1500" w:hanging="643"/>
        <w:spacing w:after="0"/>
        <w:tabs>
          <w:tab w:leader="none" w:pos="15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Except as expressly set forth in this waiver letter, nothing herein shall operate as a waiver of any right or remedy under the Management Agreement, which otherwise remains in full force and effect.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7" w:name="page58"/>
    <w:bookmarkEnd w:id="57"/>
    <w:p>
      <w:pPr>
        <w:ind w:left="4100"/>
        <w:spacing w:after="0"/>
        <w:rPr>
          <w:sz w:val="20"/>
          <w:szCs w:val="20"/>
          <w:color w:val="auto"/>
        </w:rPr>
      </w:pPr>
      <w:r>
        <w:rPr>
          <w:rFonts w:ascii="Times New Roman" w:cs="Times New Roman" w:eastAsia="Times New Roman" w:hAnsi="Times New Roman"/>
          <w:sz w:val="22"/>
          <w:szCs w:val="22"/>
          <w:b w:val="1"/>
          <w:bCs w:val="1"/>
          <w:color w:val="auto"/>
        </w:rPr>
        <w:t>ALPINE INCOME PROPERTY MANAGER,</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LLC</w:t>
      </w:r>
    </w:p>
    <w:p>
      <w:pPr>
        <w:spacing w:after="0" w:line="20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CTO Realty Growth, Inc.,</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79"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Daniel E. Smith</w:t>
      </w:r>
      <w:r>
        <w:rPr>
          <w:rFonts w:ascii="Times New Roman" w:cs="Times New Roman" w:eastAsia="Times New Roman" w:hAnsi="Times New Roman"/>
          <w:sz w:val="43"/>
          <w:szCs w:val="43"/>
          <w:u w:val="single" w:color="auto"/>
          <w:color w:val="auto"/>
          <w:vertAlign w:val="superscript"/>
        </w:rPr>
        <w:t>​</w:t>
      </w:r>
      <w:r>
        <w:rPr>
          <w:rFonts w:ascii="Times New Roman" w:cs="Times New Roman" w:eastAsia="Times New Roman" w:hAnsi="Times New Roman"/>
          <w:sz w:val="43"/>
          <w:szCs w:val="4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-48895</wp:posOffset>
            </wp:positionV>
            <wp:extent cx="142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820"/>
        <w:spacing w:after="0" w:line="230" w:lineRule="auto"/>
        <w:rPr>
          <w:sz w:val="20"/>
          <w:szCs w:val="20"/>
          <w:color w:val="auto"/>
        </w:rPr>
      </w:pPr>
      <w:r>
        <w:rPr>
          <w:rFonts w:ascii="Times New Roman" w:cs="Times New Roman" w:eastAsia="Times New Roman" w:hAnsi="Times New Roman"/>
          <w:sz w:val="22"/>
          <w:szCs w:val="22"/>
          <w:color w:val="auto"/>
        </w:rPr>
        <w:t>Name: Daniel E. Smith</w:t>
      </w:r>
    </w:p>
    <w:p>
      <w:pPr>
        <w:spacing w:after="0" w:line="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Title: Senior Vice President, General Counsel</w:t>
      </w:r>
    </w:p>
    <w:p>
      <w:pPr>
        <w:spacing w:after="0" w:line="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and Corporate Secretary</w:t>
      </w:r>
    </w:p>
    <w:p>
      <w:pPr>
        <w:spacing w:after="0" w:line="398" w:lineRule="exact"/>
        <w:rPr>
          <w:sz w:val="20"/>
          <w:szCs w:val="20"/>
          <w:color w:val="auto"/>
        </w:rPr>
      </w:pPr>
    </w:p>
    <w:p>
      <w:pPr>
        <w:ind w:left="860" w:hanging="651"/>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Andrew C. Richardson, Chairman of the Board</w:t>
      </w:r>
    </w:p>
    <w:p>
      <w:pPr>
        <w:spacing w:after="0" w:line="14" w:lineRule="exact"/>
        <w:rPr>
          <w:rFonts w:ascii="Times New Roman" w:cs="Times New Roman" w:eastAsia="Times New Roman" w:hAnsi="Times New Roman"/>
          <w:sz w:val="22"/>
          <w:szCs w:val="22"/>
          <w:color w:val="auto"/>
        </w:rPr>
      </w:pPr>
    </w:p>
    <w:p>
      <w:pPr>
        <w:ind w:left="8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P. Albright, Director, President and Chief Executive Officer</w:t>
      </w:r>
    </w:p>
    <w:p>
      <w:pPr>
        <w:ind w:left="860" w:right="151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Philip R. Mays, Senior Vice President, Chief Financial Officer and Treasurer Zach Swartz,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58" w:name="page59"/>
    <w:bookmarkEnd w:id="5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9" w:name="page60"/>
    <w:bookmarkEnd w:id="5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4599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0" w:name="page61"/>
    <w:bookmarkEnd w:id="6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September 30, 2026,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1" w:name="page62"/>
    <w:bookmarkEnd w:id="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September 30, 2026,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4688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lowerRoman"/>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2"/>
    </w:lvl>
  </w:abstractNum>
  <w:abstractNum w:abstractNumId="26">
    <w:nsid w:val="2901D82"/>
    <w:multiLevelType w:val="hybridMultilevel"/>
    <w:lvl w:ilvl="0">
      <w:lvlJc w:val="left"/>
      <w:lvlText w:val="%1:"/>
      <w:numFmt w:val="upperLetter"/>
      <w:start w:val="29"/>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80" Type="http://schemas.openxmlformats.org/officeDocument/2006/relationships/hyperlink" Target="https://www.sec.gov/Archives/edgar/data/0000023795/000119312521023648/d113606dex31.htm" TargetMode="External"/><Relationship Id="rId81" Type="http://schemas.openxmlformats.org/officeDocument/2006/relationships/hyperlink" Target="https://www.sec.gov/Archives/edgar/data/23795/000119312521206336/d124719dex32.htm" TargetMode="External"/><Relationship Id="rId82" Type="http://schemas.openxmlformats.org/officeDocument/2006/relationships/hyperlink" Target="https://www.sec.gov/Archives/edgar/data/23795/000110465924043097/tm2410761d1_ex3-1.htm" TargetMode="External"/><Relationship Id="rId83" Type="http://schemas.openxmlformats.org/officeDocument/2006/relationships/hyperlink" Target="https://www.sec.gov/Archives/edgar/data/23795/000155837023001536/cto-20230216xex3d1.htm" TargetMode="External"/><Relationship Id="rId84" Type="http://schemas.openxmlformats.org/officeDocument/2006/relationships/hyperlink" Target="https://www.sec.gov/Archives/edgar/data/0000023795/000119312521023648/d113606dex42.htm" TargetMode="External"/><Relationship Id="rId85" Type="http://schemas.openxmlformats.org/officeDocument/2006/relationships/hyperlink" Target="https://www.sec.gov/Archives/edgar/data/23795/000110465926112341/cto-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2026-10-27T15:42:15Z</dcterms:created>
  <dcterms:modified xsi:type="dcterms:W3CDTF">2026-10-27T15:42:15Z</dcterms:modified>
</cp:coreProperties>
</file>